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6D04" w14:textId="77777777" w:rsidR="00A67DC3" w:rsidRDefault="00A67DC3" w:rsidP="00A67D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0"/>
          <w:szCs w:val="20"/>
        </w:rPr>
        <w:t>Поручительства</w:t>
      </w:r>
      <w:r>
        <w:rPr>
          <w:rFonts w:ascii="Arial" w:hAnsi="Arial" w:cs="Arial"/>
          <w:color w:val="1A1A1A"/>
          <w:sz w:val="20"/>
          <w:szCs w:val="20"/>
        </w:rPr>
        <w:t> предоставляются в соответствии с Порядком, утвержденным приказом автономного учреждения</w:t>
      </w:r>
      <w:r>
        <w:rPr>
          <w:rFonts w:ascii="Arial" w:hAnsi="Arial" w:cs="Arial"/>
          <w:b/>
          <w:bCs/>
          <w:color w:val="1A1A1A"/>
          <w:sz w:val="20"/>
          <w:szCs w:val="20"/>
        </w:rPr>
        <w:t> «Фонд содействия развитию предпринимательства»</w:t>
      </w:r>
      <w:r>
        <w:rPr>
          <w:rFonts w:ascii="Arial" w:hAnsi="Arial" w:cs="Arial"/>
          <w:color w:val="1A1A1A"/>
          <w:sz w:val="20"/>
          <w:szCs w:val="20"/>
        </w:rPr>
        <w:t> от 10.01.2014г. № 1 и согласованным министром экономического развития Сахалинской области 20.01.2014г.</w:t>
      </w:r>
    </w:p>
    <w:p w14:paraId="77ABD3F1" w14:textId="77777777" w:rsidR="00A67DC3" w:rsidRDefault="00A67DC3" w:rsidP="00A67D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Поручительства предоставляются субъектам малого и среднего предпринимательства и организациям, включенным в перечень организаций, образующих инфраструктуру поддержки субъектов малого и среднего предпринимательства Сахалинской области (далее – СМСП), обладающим по заключению кредитной организации, лизинговой компании, устойчивым финансовым положением и не имеющих достаточного обеспечения для заключения договоров кредитования, договора о предоставлении банковской гарантии, договоров лизинга.</w:t>
      </w:r>
    </w:p>
    <w:p w14:paraId="15EECC2D" w14:textId="77777777" w:rsidR="00A67DC3" w:rsidRDefault="00A67DC3" w:rsidP="00A67D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Поручительства предоставляются:</w:t>
      </w:r>
    </w:p>
    <w:p w14:paraId="051B8523" w14:textId="77777777" w:rsidR="00A67DC3" w:rsidRDefault="00A67DC3" w:rsidP="00A67D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o на срок не более 7 лет и при заключении кредитного договора – на срок не менее 1 года</w:t>
      </w:r>
    </w:p>
    <w:p w14:paraId="0BCF3854" w14:textId="77777777" w:rsidR="00A67DC3" w:rsidRDefault="00A67DC3" w:rsidP="00A67D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o в сумме от 1 миллиона рублей по кредитным договорам (по договорам лизинга и договорам о предоставлении банковской гарантии минимальная сумма договора не регламентируется).</w:t>
      </w:r>
    </w:p>
    <w:p w14:paraId="27B0B33A" w14:textId="77777777" w:rsidR="00A67DC3" w:rsidRDefault="00A67DC3" w:rsidP="00A67D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0"/>
          <w:szCs w:val="20"/>
        </w:rPr>
        <w:t>При этом размер одного поручительства не может превышать:</w:t>
      </w:r>
    </w:p>
    <w:p w14:paraId="40D88133" w14:textId="77777777" w:rsidR="00A67DC3" w:rsidRDefault="00A67DC3" w:rsidP="00A67D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- десяти миллионов рублей для СМСП, занимающихся приоритетными видами деятельности, но не более 70% суммы обязательства;</w:t>
      </w:r>
    </w:p>
    <w:p w14:paraId="4CE16628" w14:textId="77777777" w:rsidR="00A67DC3" w:rsidRDefault="00A67DC3" w:rsidP="00A67D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- семи миллионов рублей для СМСП, осуществляющих деятельность в прочих отраслях, но не более 50% суммы обязательства;</w:t>
      </w:r>
    </w:p>
    <w:p w14:paraId="7E18E432" w14:textId="77777777" w:rsidR="00A67DC3" w:rsidRDefault="00A67DC3" w:rsidP="00A67D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- пятнадцати миллионов рублей для СМСП, осуществляющих деятельность в муниципальных образованиях на территории Курильских островов в сфере обрабатывающих производств</w:t>
      </w:r>
    </w:p>
    <w:p w14:paraId="1BF73FF0" w14:textId="77777777" w:rsidR="00A67DC3" w:rsidRDefault="00A67DC3" w:rsidP="00A67D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0"/>
          <w:szCs w:val="20"/>
        </w:rPr>
        <w:t>Плата за предоставление поручительства:</w:t>
      </w:r>
    </w:p>
    <w:p w14:paraId="775C91B5" w14:textId="77777777" w:rsidR="00A67DC3" w:rsidRDefault="00A67DC3" w:rsidP="00A67D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Размер вознаграждения за предоставление Поручительства (показатель D) устанавливается в зависимости:</w:t>
      </w:r>
    </w:p>
    <w:p w14:paraId="354EBD72" w14:textId="77777777" w:rsidR="00A67DC3" w:rsidRDefault="00A67DC3" w:rsidP="00A67D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- от срока предоставления Поручительства;</w:t>
      </w:r>
    </w:p>
    <w:p w14:paraId="28C69F73" w14:textId="77777777" w:rsidR="00A67DC3" w:rsidRDefault="00A67DC3" w:rsidP="00A67D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- от вида экономической деятельности СМСП, указанного в выписке из ЕГРЮЛ/ЕГРИП, а именно:</w:t>
      </w:r>
    </w:p>
    <w:p w14:paraId="66DFBADE" w14:textId="77777777" w:rsidR="00A67DC3" w:rsidRDefault="00A67DC3" w:rsidP="00A67D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для Приоритетных видов экономической деятельности: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  <w:gridCol w:w="5282"/>
      </w:tblGrid>
      <w:tr w:rsidR="00A67DC3" w14:paraId="0EA98631" w14:textId="77777777" w:rsidTr="00A67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0CA6A" w14:textId="77777777" w:rsidR="00A67DC3" w:rsidRDefault="00A67DC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Срок поручительства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321057" w14:textId="77777777" w:rsidR="00A67DC3" w:rsidRDefault="00A67DC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Размер вознаграждения (в % от суммы поручительства)</w:t>
            </w:r>
          </w:p>
        </w:tc>
      </w:tr>
      <w:tr w:rsidR="00A67DC3" w14:paraId="2A97925B" w14:textId="77777777" w:rsidTr="00A67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DBC34" w14:textId="77777777" w:rsidR="00A67DC3" w:rsidRDefault="00A67DC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до 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9C56D" w14:textId="77777777" w:rsidR="00A67DC3" w:rsidRDefault="00A67DC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1,00%</w:t>
            </w:r>
          </w:p>
        </w:tc>
      </w:tr>
      <w:tr w:rsidR="00A67DC3" w14:paraId="2976D117" w14:textId="77777777" w:rsidTr="00A67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689E6" w14:textId="77777777" w:rsidR="00A67DC3" w:rsidRDefault="00A67DC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от 1 года до 1,5 лет (включительно)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F20E" w14:textId="77777777" w:rsidR="00A67DC3" w:rsidRDefault="00A67DC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1,20 %</w:t>
            </w:r>
          </w:p>
        </w:tc>
      </w:tr>
      <w:tr w:rsidR="00A67DC3" w14:paraId="2C563432" w14:textId="77777777" w:rsidTr="00A67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01634" w14:textId="77777777" w:rsidR="00A67DC3" w:rsidRDefault="00A67DC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от 1,5 лет до 2 лет (включительно)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0A13C" w14:textId="77777777" w:rsidR="00A67DC3" w:rsidRDefault="00A67DC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1,30 %</w:t>
            </w:r>
          </w:p>
        </w:tc>
      </w:tr>
      <w:tr w:rsidR="00A67DC3" w14:paraId="784192FC" w14:textId="77777777" w:rsidTr="00A67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D1AE4" w14:textId="77777777" w:rsidR="00A67DC3" w:rsidRDefault="00A67DC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от 2 лет до 3 лет (включительно)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D3D33" w14:textId="77777777" w:rsidR="00A67DC3" w:rsidRDefault="00A67DC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1,40 %</w:t>
            </w:r>
          </w:p>
        </w:tc>
      </w:tr>
      <w:tr w:rsidR="00A67DC3" w14:paraId="120F9597" w14:textId="77777777" w:rsidTr="00A67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0CD01" w14:textId="77777777" w:rsidR="00A67DC3" w:rsidRDefault="00A67DC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от 3 лет до 4 лет (включительно)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551CA" w14:textId="77777777" w:rsidR="00A67DC3" w:rsidRDefault="00A67DC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1,50 %</w:t>
            </w:r>
          </w:p>
        </w:tc>
      </w:tr>
      <w:tr w:rsidR="00A67DC3" w14:paraId="3145AA36" w14:textId="77777777" w:rsidTr="00A67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A8836" w14:textId="77777777" w:rsidR="00A67DC3" w:rsidRDefault="00A67DC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от 4 лет до 5 лет (включительно)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86EF7" w14:textId="77777777" w:rsidR="00A67DC3" w:rsidRDefault="00A67DC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1,60 %</w:t>
            </w:r>
          </w:p>
        </w:tc>
      </w:tr>
      <w:tr w:rsidR="00A67DC3" w14:paraId="769D7D86" w14:textId="77777777" w:rsidTr="00A67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FA119" w14:textId="77777777" w:rsidR="00A67DC3" w:rsidRDefault="00A67DC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от 5 лет до 7 лет (включительно)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420DB" w14:textId="77777777" w:rsidR="00A67DC3" w:rsidRDefault="00A67DC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1,70 %</w:t>
            </w:r>
          </w:p>
        </w:tc>
      </w:tr>
    </w:tbl>
    <w:p w14:paraId="12E56336" w14:textId="77777777" w:rsidR="00A67DC3" w:rsidRDefault="00A67DC3" w:rsidP="00A67D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для Прочих видов экономической деятельности: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  <w:gridCol w:w="5282"/>
      </w:tblGrid>
      <w:tr w:rsidR="00A67DC3" w14:paraId="306E22B9" w14:textId="77777777" w:rsidTr="00A67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BC6E4" w14:textId="77777777" w:rsidR="00A67DC3" w:rsidRDefault="00A67DC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Срок поручительства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9DC1E" w14:textId="77777777" w:rsidR="00A67DC3" w:rsidRDefault="00A67DC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Размер вознаграждения (в % от суммы поручительства)</w:t>
            </w:r>
          </w:p>
        </w:tc>
      </w:tr>
      <w:tr w:rsidR="00A67DC3" w14:paraId="1878FF3D" w14:textId="77777777" w:rsidTr="00A67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6D30D" w14:textId="77777777" w:rsidR="00A67DC3" w:rsidRDefault="00A67DC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до 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B43E9" w14:textId="77777777" w:rsidR="00A67DC3" w:rsidRDefault="00A67DC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1,50%</w:t>
            </w:r>
          </w:p>
        </w:tc>
      </w:tr>
      <w:tr w:rsidR="00A67DC3" w14:paraId="09D58895" w14:textId="77777777" w:rsidTr="00A67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48679" w14:textId="77777777" w:rsidR="00A67DC3" w:rsidRDefault="00A67DC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от 1 года до 1,5 лет (включительно)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7BC73" w14:textId="77777777" w:rsidR="00A67DC3" w:rsidRDefault="00A67DC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1,75 %</w:t>
            </w:r>
          </w:p>
        </w:tc>
      </w:tr>
      <w:tr w:rsidR="00A67DC3" w14:paraId="3A1EE704" w14:textId="77777777" w:rsidTr="00A67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578E5" w14:textId="77777777" w:rsidR="00A67DC3" w:rsidRDefault="00A67DC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от 1,5 лет до 2 лет (включительно)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BCEF3" w14:textId="77777777" w:rsidR="00A67DC3" w:rsidRDefault="00A67DC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1,85 %</w:t>
            </w:r>
          </w:p>
        </w:tc>
      </w:tr>
      <w:tr w:rsidR="00A67DC3" w14:paraId="6C54501C" w14:textId="77777777" w:rsidTr="00A67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15AC5" w14:textId="77777777" w:rsidR="00A67DC3" w:rsidRDefault="00A67DC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от 2 лет до 3 лет (включительно)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42676" w14:textId="77777777" w:rsidR="00A67DC3" w:rsidRDefault="00A67DC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1,95%</w:t>
            </w:r>
          </w:p>
        </w:tc>
      </w:tr>
      <w:tr w:rsidR="00A67DC3" w14:paraId="2889831C" w14:textId="77777777" w:rsidTr="00A67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23ACE" w14:textId="77777777" w:rsidR="00A67DC3" w:rsidRDefault="00A67DC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от 3 лет до 4 лет (включительно)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6DBC1" w14:textId="77777777" w:rsidR="00A67DC3" w:rsidRDefault="00A67DC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2,05 %</w:t>
            </w:r>
          </w:p>
        </w:tc>
      </w:tr>
      <w:tr w:rsidR="00A67DC3" w14:paraId="3E3DEB29" w14:textId="77777777" w:rsidTr="00A67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796B9" w14:textId="77777777" w:rsidR="00A67DC3" w:rsidRDefault="00A67DC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от 4 лет до 5 лет (включительно)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E10F9" w14:textId="77777777" w:rsidR="00A67DC3" w:rsidRDefault="00A67DC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2,15 %</w:t>
            </w:r>
          </w:p>
        </w:tc>
      </w:tr>
      <w:tr w:rsidR="00A67DC3" w14:paraId="3B5B3620" w14:textId="77777777" w:rsidTr="00A67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36167" w14:textId="77777777" w:rsidR="00A67DC3" w:rsidRDefault="00A67DC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от 5 лет до 7 лет (включительно)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CA0A2" w14:textId="77777777" w:rsidR="00A67DC3" w:rsidRDefault="00A67DC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2,20 %</w:t>
            </w:r>
          </w:p>
        </w:tc>
      </w:tr>
    </w:tbl>
    <w:p w14:paraId="35384A35" w14:textId="77777777" w:rsidR="00A67DC3" w:rsidRDefault="00A67DC3" w:rsidP="00A67D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0"/>
          <w:szCs w:val="20"/>
          <w:u w:val="single"/>
        </w:rPr>
        <w:t>Основные требования к претендентам на получение поручительства</w:t>
      </w:r>
    </w:p>
    <w:p w14:paraId="4B83B243" w14:textId="77777777" w:rsidR="00A67DC3" w:rsidRDefault="00A67DC3" w:rsidP="00A67D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0"/>
          <w:szCs w:val="20"/>
        </w:rPr>
        <w:t>Поручительство предоставляется:</w:t>
      </w:r>
    </w:p>
    <w:p w14:paraId="165A9A78" w14:textId="77777777" w:rsidR="00A67DC3" w:rsidRDefault="00A67DC3" w:rsidP="00A67D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0"/>
          <w:szCs w:val="20"/>
        </w:rPr>
        <w:t>субъектам малого и среднего предпринимательства</w:t>
      </w:r>
      <w:r>
        <w:rPr>
          <w:rFonts w:ascii="Arial" w:hAnsi="Arial" w:cs="Arial"/>
          <w:color w:val="1A1A1A"/>
          <w:sz w:val="20"/>
          <w:szCs w:val="20"/>
        </w:rPr>
        <w:t>, отнесенным к таковым в соответствии с требованиями статьи 4 Федерального закона от 24.07.2007 № 209-ФЗ “О развитии малого и среднего предпринимательства в Российской Федерации”,</w:t>
      </w:r>
    </w:p>
    <w:p w14:paraId="2CE4B72D" w14:textId="77777777" w:rsidR="00A67DC3" w:rsidRDefault="00A67DC3" w:rsidP="00A67D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0"/>
          <w:szCs w:val="20"/>
        </w:rPr>
        <w:t>юридическим лицам, включенным в перечень организаций, образующих инфраструктуру поддержки</w:t>
      </w:r>
      <w:r>
        <w:rPr>
          <w:rFonts w:ascii="Arial" w:hAnsi="Arial" w:cs="Arial"/>
          <w:color w:val="1A1A1A"/>
          <w:sz w:val="20"/>
          <w:szCs w:val="20"/>
        </w:rPr>
        <w:t> субъектов малого и среднего предпринимательства Сахалинской области в соответствии с Правилами отбора юридических лиц для включения в перечень организаций, образующих инфраструктуру поддержки субъектов малого и среднего предпринимательства Сахалинской области, утвержденными постановлением Правительства Сахалинской области,</w:t>
      </w:r>
    </w:p>
    <w:p w14:paraId="5D53FB0F" w14:textId="77777777" w:rsidR="00A67DC3" w:rsidRDefault="00A67DC3" w:rsidP="00A67D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0"/>
          <w:szCs w:val="20"/>
        </w:rPr>
        <w:t>соответствующим следующим требованиям:</w:t>
      </w:r>
    </w:p>
    <w:p w14:paraId="79D353C0" w14:textId="77777777" w:rsidR="00A67DC3" w:rsidRDefault="00A67DC3" w:rsidP="00A67DC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обладающим устойчивым финансовым состоянием;</w:t>
      </w:r>
    </w:p>
    <w:p w14:paraId="3B40DCC5" w14:textId="77777777" w:rsidR="00A67DC3" w:rsidRDefault="00A67DC3" w:rsidP="00A67DC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осуществляющим хозяйственную деятельность не менее трех месяцев;</w:t>
      </w:r>
    </w:p>
    <w:p w14:paraId="42623A52" w14:textId="77777777" w:rsidR="00A67DC3" w:rsidRDefault="00A67DC3" w:rsidP="00A67DC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не имеющим за последние три месяца нарушений условий ранее заключенных кредитных договоров, договоров займа, лизинга, государственных контрактов и т.п.;</w:t>
      </w:r>
    </w:p>
    <w:p w14:paraId="4D6443F0" w14:textId="77777777" w:rsidR="00A67DC3" w:rsidRDefault="00A67DC3" w:rsidP="00A67DC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lastRenderedPageBreak/>
        <w:t>не имеющим на последнюю отчетную дату просроченной задолженности по начисленным налогам, сборам и иным обязательным платежам перед бюджетами всех уровней;</w:t>
      </w:r>
    </w:p>
    <w:p w14:paraId="1A8F3A76" w14:textId="77777777" w:rsidR="00A67DC3" w:rsidRDefault="00A67DC3" w:rsidP="00A67DC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выплачивающим заработную плату работникам в размере, не ниже величины прожиточного минимума, установленного для трудоспособного населения Сахалинской области;</w:t>
      </w:r>
    </w:p>
    <w:p w14:paraId="03C28668" w14:textId="77777777" w:rsidR="00A67DC3" w:rsidRDefault="00A67DC3" w:rsidP="00A67DC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не имеющим на последнюю отчетную дату просроченную задолженность по выплате заработной платы (вознаграждения) работникам.</w:t>
      </w:r>
    </w:p>
    <w:p w14:paraId="58AAE679" w14:textId="77777777" w:rsidR="00A67DC3" w:rsidRDefault="00A67DC3" w:rsidP="00A67DC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0"/>
          <w:szCs w:val="20"/>
        </w:rPr>
        <w:t>Порядок предоставления поручительства</w:t>
      </w:r>
    </w:p>
    <w:p w14:paraId="2F588D9E" w14:textId="77777777" w:rsidR="00A67DC3" w:rsidRDefault="00A67DC3" w:rsidP="00A67D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Субъект предпринимательства самостоятельно обращается в финансовую организацию с заявкой на получение кредита, банковской гарантии, лизинга.</w:t>
      </w:r>
    </w:p>
    <w:p w14:paraId="733DC22F" w14:textId="77777777" w:rsidR="00A67DC3" w:rsidRDefault="00A67DC3" w:rsidP="00A67D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В случае принятия положительного решения, финансовая организация в соответствии с заключенным соглашением с Фондом направляет в Фонд:</w:t>
      </w:r>
    </w:p>
    <w:p w14:paraId="234F7279" w14:textId="77777777" w:rsidR="00A67DC3" w:rsidRDefault="00A67DC3" w:rsidP="00A67DC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подписанную субъектом предпринимательства и согласованную с финансовой организацией заявку на получение поручительства Фонда;</w:t>
      </w:r>
    </w:p>
    <w:p w14:paraId="39E746ED" w14:textId="77777777" w:rsidR="00A67DC3" w:rsidRDefault="00A67DC3" w:rsidP="00A67DC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выписку из решения кредитного комитета либо иного уполномоченного органа финансовой организации, содержащую основные условия предполагаемой сделки и согласие финансовой организации о возможности кредитования субъекта предпринимательства в случае предоставления поручительства Фонда;</w:t>
      </w:r>
    </w:p>
    <w:p w14:paraId="7898CA0F" w14:textId="77777777" w:rsidR="00A67DC3" w:rsidRDefault="00A67DC3" w:rsidP="00A67DC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заключение финансовой организации об оценке финансового положения субъекта предпринимательства и состоянии его бизнеса;</w:t>
      </w:r>
    </w:p>
    <w:p w14:paraId="188CAB18" w14:textId="77777777" w:rsidR="00A67DC3" w:rsidRDefault="00A67DC3" w:rsidP="00A67DC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копии документов, представленных субъектом предпринимательства в финансовую организацию (включая юридические, финансовые, документы по обеспечению, документы, касающиеся предстоящей сделки).</w:t>
      </w:r>
    </w:p>
    <w:p w14:paraId="678C851E" w14:textId="77777777" w:rsidR="00A67DC3" w:rsidRDefault="00A67DC3" w:rsidP="00A67D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Субъект предпринимательства дополнительно представляет в Фонд:</w:t>
      </w:r>
    </w:p>
    <w:p w14:paraId="14DBC218" w14:textId="77777777" w:rsidR="00A67DC3" w:rsidRDefault="00A67DC3" w:rsidP="00A67DC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справку о минимальном размере заработной платы, выплачиваемой работникам, и об отсутствии просроченной задолженности по выплате заработной платы по состоянию на последнюю отчетную дату перед датой обращения за получением поручительства, по Форме, установленной Фондом;</w:t>
      </w:r>
    </w:p>
    <w:p w14:paraId="4DB1BF4D" w14:textId="77777777" w:rsidR="00A67DC3" w:rsidRDefault="00A67DC3" w:rsidP="00A67DC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справку из налогового органа об отсутствии просроченной задолженности в бюджеты всех уровней,;</w:t>
      </w:r>
    </w:p>
    <w:p w14:paraId="3704C9BC" w14:textId="77777777" w:rsidR="00A67DC3" w:rsidRDefault="00A67DC3" w:rsidP="00A67DC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справку об отсутствии за последние три месяца, предшествующие дате обращения за получением поручительства Фонда, нарушений условий ранее заключенных договоров займа, договоров лизинга, государственных контрактов и т.п. за подписью руководителя и главного бухгалтера (при его наличии) субъекта предпринимательства, скрепленную печатью.</w:t>
      </w:r>
    </w:p>
    <w:p w14:paraId="4DBC0631" w14:textId="77777777" w:rsidR="00A67DC3" w:rsidRDefault="00A67DC3" w:rsidP="00A67D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0"/>
          <w:szCs w:val="20"/>
        </w:rPr>
        <w:t>Решение о предоставлении поручительства</w:t>
      </w:r>
      <w:r>
        <w:rPr>
          <w:rFonts w:ascii="Arial" w:hAnsi="Arial" w:cs="Arial"/>
          <w:color w:val="1A1A1A"/>
          <w:sz w:val="20"/>
          <w:szCs w:val="20"/>
        </w:rPr>
        <w:t> либо об отказе в предоставлении поручительства принимается </w:t>
      </w:r>
      <w:r>
        <w:rPr>
          <w:rFonts w:ascii="Arial" w:hAnsi="Arial" w:cs="Arial"/>
          <w:b/>
          <w:bCs/>
          <w:color w:val="1A1A1A"/>
          <w:sz w:val="20"/>
          <w:szCs w:val="20"/>
        </w:rPr>
        <w:t>в течение 5 рабочих дней</w:t>
      </w:r>
      <w:r>
        <w:rPr>
          <w:rFonts w:ascii="Arial" w:hAnsi="Arial" w:cs="Arial"/>
          <w:color w:val="1A1A1A"/>
          <w:sz w:val="20"/>
          <w:szCs w:val="20"/>
        </w:rPr>
        <w:t> с даты получения заявки и необходимого пакета документов.</w:t>
      </w:r>
    </w:p>
    <w:p w14:paraId="414657EC" w14:textId="77777777" w:rsidR="00A67DC3" w:rsidRDefault="00A67DC3" w:rsidP="00A67DC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0"/>
          <w:szCs w:val="20"/>
        </w:rPr>
        <w:t>партнеры</w:t>
      </w:r>
    </w:p>
    <w:p w14:paraId="42A7D592" w14:textId="77777777" w:rsidR="00A67DC3" w:rsidRDefault="00A67DC3" w:rsidP="00A67D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0"/>
          <w:szCs w:val="20"/>
        </w:rPr>
        <w:t>I. Фондом подписаны соглашения о сотрудничестве по программе предоставления поручительств со следующими банками:</w:t>
      </w:r>
    </w:p>
    <w:p w14:paraId="3BB91DE7" w14:textId="77777777" w:rsidR="00A67DC3" w:rsidRDefault="00A67DC3" w:rsidP="00A67D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Филиал АК Сберегательного банка РФ (ОАО) Южно-Сахалинское отделение № 8567 </w:t>
      </w:r>
      <w:hyperlink r:id="rId5" w:history="1">
        <w:r>
          <w:rPr>
            <w:rStyle w:val="a5"/>
            <w:rFonts w:ascii="Arial" w:hAnsi="Arial" w:cs="Arial"/>
            <w:color w:val="0000EE"/>
            <w:sz w:val="20"/>
            <w:szCs w:val="20"/>
          </w:rPr>
          <w:t>www.sberbank.ru</w:t>
        </w:r>
      </w:hyperlink>
    </w:p>
    <w:p w14:paraId="47BCF4EB" w14:textId="77777777" w:rsidR="00A67DC3" w:rsidRDefault="00A67DC3" w:rsidP="00A67D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ФОАО “Дальневосточный банк” “Сахалинский” </w:t>
      </w:r>
      <w:hyperlink r:id="rId6" w:history="1">
        <w:r>
          <w:rPr>
            <w:rStyle w:val="a5"/>
            <w:rFonts w:ascii="Arial" w:hAnsi="Arial" w:cs="Arial"/>
            <w:color w:val="0000EE"/>
            <w:sz w:val="20"/>
            <w:szCs w:val="20"/>
          </w:rPr>
          <w:t>www.dvbank.ru</w:t>
        </w:r>
      </w:hyperlink>
    </w:p>
    <w:p w14:paraId="370CB895" w14:textId="77777777" w:rsidR="00A67DC3" w:rsidRDefault="00A67DC3" w:rsidP="00A67D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ОАО “Далькомбанк”, операционный офис №2 в г.Южно-Сахалинске </w:t>
      </w:r>
      <w:hyperlink r:id="rId7" w:history="1">
        <w:r>
          <w:rPr>
            <w:rStyle w:val="a5"/>
            <w:rFonts w:ascii="Arial" w:hAnsi="Arial" w:cs="Arial"/>
            <w:color w:val="0000EE"/>
            <w:sz w:val="20"/>
            <w:szCs w:val="20"/>
          </w:rPr>
          <w:t>www.dalcombank.ru</w:t>
        </w:r>
      </w:hyperlink>
    </w:p>
    <w:p w14:paraId="7E120477" w14:textId="77777777" w:rsidR="00A67DC3" w:rsidRDefault="00A67DC3" w:rsidP="00A67D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ОАО “Азиатско-Тихоокеанский банк”, операционный офис № 2 в г.Южно-Сахалинске филиала “Азиатско-Тихоокеанский банк” г. Владивосток </w:t>
      </w:r>
      <w:hyperlink r:id="rId8" w:history="1">
        <w:r>
          <w:rPr>
            <w:rStyle w:val="a5"/>
            <w:rFonts w:ascii="Arial" w:hAnsi="Arial" w:cs="Arial"/>
            <w:color w:val="0000EE"/>
            <w:sz w:val="20"/>
            <w:szCs w:val="20"/>
          </w:rPr>
          <w:t>www.atb.su</w:t>
        </w:r>
      </w:hyperlink>
    </w:p>
    <w:p w14:paraId="14424F5B" w14:textId="77777777" w:rsidR="00A67DC3" w:rsidRDefault="00A67DC3" w:rsidP="00A67D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Операционный офис “Сахалинский” Банка ВТБ 24 </w:t>
      </w:r>
      <w:hyperlink r:id="rId9" w:tgtFrame="_blank" w:history="1">
        <w:r>
          <w:rPr>
            <w:rStyle w:val="a5"/>
            <w:rFonts w:ascii="Arial" w:hAnsi="Arial" w:cs="Arial"/>
            <w:color w:val="0000EE"/>
            <w:sz w:val="20"/>
            <w:szCs w:val="20"/>
          </w:rPr>
          <w:t>http://www.vtb24.ru/yuzhno-sakhalinsk/</w:t>
        </w:r>
      </w:hyperlink>
    </w:p>
    <w:p w14:paraId="4EEB0EEE" w14:textId="77777777" w:rsidR="00A67DC3" w:rsidRDefault="00A67DC3" w:rsidP="00A67D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ЗАО “Холмсккомбанк”</w:t>
      </w:r>
    </w:p>
    <w:p w14:paraId="2AA89522" w14:textId="77777777" w:rsidR="00A67DC3" w:rsidRDefault="00A67DC3" w:rsidP="00A67D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Южно-Сахалинский филиал ОАО “Банк Москвы” </w:t>
      </w:r>
      <w:hyperlink r:id="rId10" w:history="1">
        <w:r>
          <w:rPr>
            <w:rStyle w:val="a5"/>
            <w:rFonts w:ascii="Arial" w:hAnsi="Arial" w:cs="Arial"/>
            <w:color w:val="0000EE"/>
            <w:sz w:val="20"/>
            <w:szCs w:val="20"/>
          </w:rPr>
          <w:t>http://www.bm.ru</w:t>
        </w:r>
      </w:hyperlink>
    </w:p>
    <w:p w14:paraId="206DF692" w14:textId="77777777" w:rsidR="00A67DC3" w:rsidRDefault="00A67DC3" w:rsidP="00A67D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Сахалинский региональный филиал ОАО “Россельхозбанк” </w:t>
      </w:r>
      <w:hyperlink r:id="rId11" w:history="1">
        <w:r>
          <w:rPr>
            <w:rStyle w:val="a5"/>
            <w:rFonts w:ascii="Arial" w:hAnsi="Arial" w:cs="Arial"/>
            <w:color w:val="0000EE"/>
            <w:sz w:val="20"/>
            <w:szCs w:val="20"/>
          </w:rPr>
          <w:t>http://www.rshb.ru</w:t>
        </w:r>
      </w:hyperlink>
    </w:p>
    <w:p w14:paraId="359901E0" w14:textId="77777777" w:rsidR="00A67DC3" w:rsidRDefault="00A67DC3" w:rsidP="00A67D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ОАО КБ “Уссури” </w:t>
      </w:r>
      <w:hyperlink r:id="rId12" w:history="1">
        <w:r>
          <w:rPr>
            <w:rStyle w:val="a5"/>
            <w:rFonts w:ascii="Arial" w:hAnsi="Arial" w:cs="Arial"/>
            <w:color w:val="0000EE"/>
            <w:sz w:val="20"/>
            <w:szCs w:val="20"/>
          </w:rPr>
          <w:t>http://www.ussurybank.ru</w:t>
        </w:r>
      </w:hyperlink>
    </w:p>
    <w:p w14:paraId="49E9C91D" w14:textId="77777777" w:rsidR="00A67DC3" w:rsidRDefault="00A67DC3" w:rsidP="00A67D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ЗАО «Солид Банк» </w:t>
      </w:r>
      <w:hyperlink r:id="rId13" w:history="1">
        <w:r>
          <w:rPr>
            <w:rStyle w:val="a5"/>
            <w:rFonts w:ascii="Arial" w:hAnsi="Arial" w:cs="Arial"/>
            <w:color w:val="0000EE"/>
            <w:sz w:val="20"/>
            <w:szCs w:val="20"/>
          </w:rPr>
          <w:t>http://www.solid-bank.ru</w:t>
        </w:r>
      </w:hyperlink>
    </w:p>
    <w:p w14:paraId="28D5361A" w14:textId="77777777" w:rsidR="00A67DC3" w:rsidRDefault="00A67DC3" w:rsidP="00A67D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0"/>
          <w:szCs w:val="20"/>
        </w:rPr>
        <w:lastRenderedPageBreak/>
        <w:t>II. Фондом подписаны соглашения о сотрудничестве по программе предоставления поручительств со следующими лизинговыми компаниями:</w:t>
      </w:r>
    </w:p>
    <w:p w14:paraId="168951C0" w14:textId="77777777" w:rsidR="00A67DC3" w:rsidRDefault="00A67DC3" w:rsidP="00A67D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ЗАО «Универсальная лизинговая компания», г.Хабаровск, </w:t>
      </w:r>
      <w:hyperlink r:id="rId14" w:history="1">
        <w:r>
          <w:rPr>
            <w:rStyle w:val="a5"/>
            <w:rFonts w:ascii="Arial" w:hAnsi="Arial" w:cs="Arial"/>
            <w:color w:val="0000EE"/>
            <w:sz w:val="20"/>
            <w:szCs w:val="20"/>
          </w:rPr>
          <w:t>http://www.ulk.ru</w:t>
        </w:r>
      </w:hyperlink>
    </w:p>
    <w:p w14:paraId="2D11DF1C" w14:textId="77777777" w:rsidR="00A67DC3" w:rsidRDefault="00A67DC3" w:rsidP="00A67D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ЗАО «Бизнес-Лизинг», г.Хабаровск</w:t>
      </w:r>
    </w:p>
    <w:p w14:paraId="21A8FD08" w14:textId="77777777" w:rsidR="00A67DC3" w:rsidRDefault="00A67DC3" w:rsidP="00A67D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ООО «Атом г.Южно-Сахалинск, </w:t>
      </w:r>
      <w:hyperlink r:id="rId15" w:history="1">
        <w:r>
          <w:rPr>
            <w:rStyle w:val="a5"/>
            <w:rFonts w:ascii="Arial" w:hAnsi="Arial" w:cs="Arial"/>
            <w:color w:val="0000EE"/>
            <w:sz w:val="20"/>
            <w:szCs w:val="20"/>
          </w:rPr>
          <w:t>http://www.atom-finance.ru</w:t>
        </w:r>
      </w:hyperlink>
    </w:p>
    <w:p w14:paraId="375B73D4" w14:textId="77777777" w:rsidR="009F1F62" w:rsidRPr="00A67DC3" w:rsidRDefault="009F1F62" w:rsidP="00A67DC3"/>
    <w:sectPr w:rsidR="009F1F62" w:rsidRPr="00A6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5C43"/>
    <w:multiLevelType w:val="multilevel"/>
    <w:tmpl w:val="7C4AC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03BD0"/>
    <w:multiLevelType w:val="multilevel"/>
    <w:tmpl w:val="B016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E4E71"/>
    <w:multiLevelType w:val="multilevel"/>
    <w:tmpl w:val="17C2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C11179"/>
    <w:multiLevelType w:val="multilevel"/>
    <w:tmpl w:val="07DE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E53A00"/>
    <w:multiLevelType w:val="multilevel"/>
    <w:tmpl w:val="87C2A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1D"/>
    <w:rsid w:val="0076611D"/>
    <w:rsid w:val="009F1F62"/>
    <w:rsid w:val="00A67DC3"/>
    <w:rsid w:val="00B6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71432-8A73-4B93-833D-F9404523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64C41"/>
    <w:rPr>
      <w:b/>
      <w:bCs/>
    </w:rPr>
  </w:style>
  <w:style w:type="character" w:styleId="a5">
    <w:name w:val="Hyperlink"/>
    <w:basedOn w:val="a0"/>
    <w:uiPriority w:val="99"/>
    <w:semiHidden/>
    <w:unhideWhenUsed/>
    <w:rsid w:val="00B64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b.su/" TargetMode="External"/><Relationship Id="rId13" Type="http://schemas.openxmlformats.org/officeDocument/2006/relationships/hyperlink" Target="http://www.solid-ban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lcombank.ru/" TargetMode="External"/><Relationship Id="rId12" Type="http://schemas.openxmlformats.org/officeDocument/2006/relationships/hyperlink" Target="http://www.ussurybank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vbank.ru/" TargetMode="External"/><Relationship Id="rId11" Type="http://schemas.openxmlformats.org/officeDocument/2006/relationships/hyperlink" Target="http://www.rshb.ru/" TargetMode="External"/><Relationship Id="rId5" Type="http://schemas.openxmlformats.org/officeDocument/2006/relationships/hyperlink" Target="http://www.sberbank.ru/" TargetMode="External"/><Relationship Id="rId15" Type="http://schemas.openxmlformats.org/officeDocument/2006/relationships/hyperlink" Target="http://www.atom-finance.ru/" TargetMode="External"/><Relationship Id="rId10" Type="http://schemas.openxmlformats.org/officeDocument/2006/relationships/hyperlink" Target="http://www.b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tb24.ru/yuzhno-sakhalinsk/" TargetMode="External"/><Relationship Id="rId14" Type="http://schemas.openxmlformats.org/officeDocument/2006/relationships/hyperlink" Target="http://www.ul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1128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Игнатьев</dc:creator>
  <cp:keywords/>
  <dc:description/>
  <cp:lastModifiedBy>Александр Игнатьев</cp:lastModifiedBy>
  <cp:revision>5</cp:revision>
  <dcterms:created xsi:type="dcterms:W3CDTF">2025-01-15T03:05:00Z</dcterms:created>
  <dcterms:modified xsi:type="dcterms:W3CDTF">2025-01-15T03:06:00Z</dcterms:modified>
</cp:coreProperties>
</file>