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8B" w:rsidRPr="002F0CD7" w:rsidRDefault="0041598B" w:rsidP="007D3BC5">
      <w:pPr>
        <w:widowControl w:val="0"/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/>
          <w:sz w:val="20"/>
          <w:szCs w:val="20"/>
        </w:rPr>
      </w:pPr>
      <w:r w:rsidRPr="002F0CD7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41598B" w:rsidRPr="002F0CD7" w:rsidRDefault="0041598B" w:rsidP="007D3BC5">
      <w:pPr>
        <w:widowControl w:val="0"/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/>
          <w:sz w:val="20"/>
          <w:szCs w:val="20"/>
        </w:rPr>
      </w:pPr>
      <w:r w:rsidRPr="002F0CD7">
        <w:rPr>
          <w:rFonts w:ascii="Times New Roman" w:hAnsi="Times New Roman"/>
          <w:sz w:val="20"/>
          <w:szCs w:val="20"/>
        </w:rPr>
        <w:t xml:space="preserve">к подпрограмме  «Повышение качества  и доступности </w:t>
      </w:r>
    </w:p>
    <w:p w:rsidR="0041598B" w:rsidRPr="002F0CD7" w:rsidRDefault="0041598B" w:rsidP="007D3BC5">
      <w:pPr>
        <w:widowControl w:val="0"/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/>
          <w:sz w:val="20"/>
          <w:szCs w:val="20"/>
        </w:rPr>
      </w:pPr>
      <w:r w:rsidRPr="002F0CD7">
        <w:rPr>
          <w:rFonts w:ascii="Times New Roman" w:hAnsi="Times New Roman"/>
          <w:sz w:val="20"/>
          <w:szCs w:val="20"/>
        </w:rPr>
        <w:t xml:space="preserve">дошкольного образования » </w:t>
      </w:r>
    </w:p>
    <w:p w:rsidR="0041598B" w:rsidRPr="0090669A" w:rsidRDefault="0041598B" w:rsidP="006D296C">
      <w:pPr>
        <w:jc w:val="center"/>
        <w:rPr>
          <w:rFonts w:ascii="Times New Roman" w:hAnsi="Times New Roman"/>
          <w:b/>
          <w:sz w:val="24"/>
          <w:szCs w:val="24"/>
        </w:rPr>
      </w:pPr>
      <w:r w:rsidRPr="0090669A">
        <w:rPr>
          <w:rFonts w:ascii="Times New Roman" w:hAnsi="Times New Roman"/>
          <w:b/>
          <w:sz w:val="24"/>
          <w:szCs w:val="24"/>
        </w:rPr>
        <w:t>Пе</w:t>
      </w:r>
      <w:r>
        <w:rPr>
          <w:rFonts w:ascii="Times New Roman" w:hAnsi="Times New Roman"/>
          <w:b/>
          <w:sz w:val="24"/>
          <w:szCs w:val="24"/>
        </w:rPr>
        <w:t>речень мероприятий подп</w:t>
      </w:r>
      <w:r w:rsidRPr="0090669A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1598B" w:rsidRPr="0090669A" w:rsidRDefault="0041598B" w:rsidP="00C62B2C">
      <w:pPr>
        <w:rPr>
          <w:rFonts w:ascii="Times New Roman" w:hAnsi="Times New Roman"/>
          <w:sz w:val="16"/>
          <w:szCs w:val="16"/>
        </w:rPr>
      </w:pPr>
    </w:p>
    <w:tbl>
      <w:tblPr>
        <w:tblW w:w="16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6"/>
        <w:gridCol w:w="2495"/>
        <w:gridCol w:w="1625"/>
        <w:gridCol w:w="1180"/>
        <w:gridCol w:w="1135"/>
        <w:gridCol w:w="2518"/>
        <w:gridCol w:w="2494"/>
        <w:gridCol w:w="1751"/>
        <w:gridCol w:w="2350"/>
      </w:tblGrid>
      <w:tr w:rsidR="0041598B" w:rsidRPr="000A0EDA" w:rsidTr="000A0EDA">
        <w:trPr>
          <w:jc w:val="center"/>
        </w:trPr>
        <w:tc>
          <w:tcPr>
            <w:tcW w:w="656" w:type="dxa"/>
            <w:vMerge w:val="restart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495" w:type="dxa"/>
            <w:vMerge w:val="restart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625" w:type="dxa"/>
            <w:vMerge w:val="restart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15" w:type="dxa"/>
            <w:gridSpan w:val="2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5012" w:type="dxa"/>
            <w:gridSpan w:val="2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1751" w:type="dxa"/>
            <w:vMerge w:val="restart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нереализации</w:t>
            </w:r>
          </w:p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2350" w:type="dxa"/>
            <w:vMerge w:val="restart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  <w:vMerge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5" w:type="dxa"/>
            <w:vMerge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13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значение (по годам реализации)(количественное измерение или качественная оценка результата)</w:t>
            </w:r>
          </w:p>
        </w:tc>
        <w:tc>
          <w:tcPr>
            <w:tcW w:w="1751" w:type="dxa"/>
            <w:vMerge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50" w:type="dxa"/>
            <w:vMerge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80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5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41598B" w:rsidRPr="000A0EDA" w:rsidTr="000A0EDA">
        <w:trPr>
          <w:jc w:val="center"/>
        </w:trPr>
        <w:tc>
          <w:tcPr>
            <w:tcW w:w="16204" w:type="dxa"/>
            <w:gridSpan w:val="9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24"/>
                <w:szCs w:val="24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41598B" w:rsidRPr="000A0EDA" w:rsidTr="000A0EDA">
        <w:trPr>
          <w:jc w:val="center"/>
        </w:trPr>
        <w:tc>
          <w:tcPr>
            <w:tcW w:w="16204" w:type="dxa"/>
            <w:gridSpan w:val="9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18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13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Строительство здания дошкольной образовательной организации  на 70 мест позволит обеспечить доступность дошкольного образования в селе Правда.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году.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 Школа-детский сад  на 110 мест в 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18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13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Строительство здания образовательной организации 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494" w:type="dxa"/>
            <w:tcBorders>
              <w:bottom w:val="nil"/>
            </w:tcBorders>
          </w:tcPr>
          <w:p w:rsidR="0041598B" w:rsidRPr="000A0EDA" w:rsidRDefault="0041598B" w:rsidP="000A0ED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Пионеры по годам реализации составит: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</w:t>
            </w:r>
          </w:p>
        </w:tc>
      </w:tr>
      <w:tr w:rsidR="0041598B" w:rsidRPr="000A0EDA" w:rsidTr="000A0EDA">
        <w:trPr>
          <w:jc w:val="center"/>
        </w:trPr>
        <w:tc>
          <w:tcPr>
            <w:tcW w:w="16204" w:type="dxa"/>
            <w:gridSpan w:val="9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1.2.Капитальный ремонт зданий функционирующих дошкольных образовательных организаций: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«Рябинка» 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МБДОУ д/с № 4  «Маячок» 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с. Яблочное – 1 группа-20 мест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180" w:type="dxa"/>
          </w:tcPr>
          <w:p w:rsidR="0041598B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</w:tcPr>
          <w:p w:rsidR="0041598B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доступность дошкольного образования в с. Чехов и с. Яблочное.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городского округа позволит обеспечить доступность дошкольного образования: 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образования (отношение численности детей в возрасте от 3 лет до 7 лет, получающих дошкольное образование в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году.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1.2.2.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Капитальный ремонт МБДОУ детский сад № 4 «Маячок» с. Яблочное, детский сад «Теремок», детский сад № 39 «Петушок», детский сад «Золушка», детский сад № 8 «Золотой ключик»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180" w:type="dxa"/>
          </w:tcPr>
          <w:p w:rsidR="0041598B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</w:tcPr>
          <w:p w:rsidR="0041598B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привести  условия содержания дошкольных образовательных организаций в соответствие с санитарными и иными требованиями законодательства. 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к  устройству, содержанию и организации режима работы дошкольных образовательных организаций и иных требований законодательства. 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 и создание условий для максимального охвата детей организованными формами дошкольного образования.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180" w:type="dxa"/>
          </w:tcPr>
          <w:p w:rsidR="0041598B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</w:tcPr>
          <w:p w:rsidR="0041598B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 и создание условий для максимального охвата детей организованными формами дошкольного образования.</w:t>
            </w:r>
          </w:p>
        </w:tc>
      </w:tr>
      <w:tr w:rsidR="0041598B" w:rsidRPr="000A0EDA" w:rsidTr="000A0EDA">
        <w:trPr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1.2.4.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организации предоставления общедоступного бесплатного дошкольного  образования в муниципальных дошкольных образовательных организациях. Укрепление материально-технической базы образовательных учреждений.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180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Будет укреплена материально-техническая база образовательных учреждений . 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</w:t>
            </w: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, в общей численности  муниципальных дошкольных организаций</w:t>
            </w:r>
            <w:r w:rsidRPr="000A0EDA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41598B" w:rsidRPr="000A0EDA" w:rsidRDefault="0041598B" w:rsidP="000A0ED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350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Д</w:t>
            </w:r>
            <w:r w:rsidRPr="000A0ED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обустроенных соответствующими объектами безопасности</w:t>
            </w:r>
            <w:r w:rsidRPr="000A0EDA">
              <w:rPr>
                <w:rFonts w:ascii="Times New Roman" w:hAnsi="Times New Roman"/>
                <w:b/>
                <w:bCs/>
                <w:sz w:val="16"/>
                <w:szCs w:val="16"/>
              </w:rPr>
              <w:t>, в общей численности  муниципальных дошкольных организаций</w:t>
            </w: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</w:t>
            </w:r>
            <w:r w:rsidRPr="000A0EDA">
              <w:rPr>
                <w:rFonts w:ascii="Times New Roman" w:hAnsi="Times New Roman"/>
                <w:b/>
              </w:rPr>
              <w:t>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1598B" w:rsidRPr="000A0EDA" w:rsidTr="000A0EDA">
        <w:trPr>
          <w:gridAfter w:val="1"/>
          <w:wAfter w:w="2350" w:type="dxa"/>
          <w:jc w:val="center"/>
        </w:trPr>
        <w:tc>
          <w:tcPr>
            <w:tcW w:w="65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1.2.5</w:t>
            </w:r>
          </w:p>
        </w:tc>
        <w:tc>
          <w:tcPr>
            <w:tcW w:w="2495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625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180" w:type="dxa"/>
          </w:tcPr>
          <w:p w:rsidR="0041598B" w:rsidRPr="000A0EDA" w:rsidRDefault="0041598B" w:rsidP="000A0EDA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135" w:type="dxa"/>
          </w:tcPr>
          <w:p w:rsidR="0041598B" w:rsidRPr="000A0EDA" w:rsidRDefault="0041598B" w:rsidP="000A0EDA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518" w:type="dxa"/>
          </w:tcPr>
          <w:p w:rsidR="0041598B" w:rsidRPr="000A0EDA" w:rsidRDefault="0041598B" w:rsidP="000A0EDA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 дошкольных образовательных организаций</w:t>
            </w:r>
          </w:p>
        </w:tc>
        <w:tc>
          <w:tcPr>
            <w:tcW w:w="2494" w:type="dxa"/>
          </w:tcPr>
          <w:p w:rsidR="0041598B" w:rsidRPr="000A0EDA" w:rsidRDefault="0041598B" w:rsidP="000A0EDA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1751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</w:tr>
    </w:tbl>
    <w:p w:rsidR="0041598B" w:rsidRDefault="0041598B" w:rsidP="00AC479A">
      <w:pPr>
        <w:snapToGrid w:val="0"/>
        <w:spacing w:after="0" w:line="240" w:lineRule="auto"/>
        <w:jc w:val="both"/>
        <w:rPr>
          <w:rFonts w:ascii="Times New Roman" w:hAnsi="Times New Roman" w:cs="Calibri"/>
          <w:sz w:val="16"/>
          <w:szCs w:val="16"/>
          <w:lang w:eastAsia="ar-SA"/>
        </w:rPr>
      </w:pPr>
      <w:r>
        <w:rPr>
          <w:rFonts w:ascii="Times New Roman" w:hAnsi="Times New Roman" w:cs="Calibri"/>
          <w:sz w:val="16"/>
          <w:szCs w:val="16"/>
          <w:lang w:eastAsia="ar-SA"/>
        </w:rPr>
        <w:t>Удельный расход тепловой</w:t>
      </w:r>
    </w:p>
    <w:p w:rsidR="0041598B" w:rsidRDefault="0041598B" w:rsidP="00AC479A">
      <w:pPr>
        <w:snapToGrid w:val="0"/>
        <w:spacing w:after="0" w:line="240" w:lineRule="auto"/>
        <w:jc w:val="both"/>
        <w:rPr>
          <w:rFonts w:ascii="Times New Roman" w:hAnsi="Times New Roman" w:cs="Calibri"/>
          <w:sz w:val="16"/>
          <w:szCs w:val="16"/>
          <w:lang w:eastAsia="ar-SA"/>
        </w:rPr>
      </w:pPr>
      <w:r>
        <w:rPr>
          <w:rFonts w:ascii="Times New Roman" w:hAnsi="Times New Roman" w:cs="Calibri"/>
          <w:sz w:val="16"/>
          <w:szCs w:val="16"/>
          <w:lang w:eastAsia="ar-SA"/>
        </w:rPr>
        <w:t xml:space="preserve"> и электрической энергии на снабжение</w:t>
      </w:r>
    </w:p>
    <w:p w:rsidR="0041598B" w:rsidRDefault="0041598B" w:rsidP="00AC479A">
      <w:pPr>
        <w:snapToGrid w:val="0"/>
        <w:spacing w:after="0" w:line="240" w:lineRule="auto"/>
        <w:jc w:val="both"/>
        <w:rPr>
          <w:rFonts w:ascii="Times New Roman" w:hAnsi="Times New Roman" w:cs="Calibri"/>
          <w:sz w:val="16"/>
          <w:szCs w:val="16"/>
          <w:lang w:eastAsia="ar-SA"/>
        </w:rPr>
      </w:pPr>
      <w:r>
        <w:rPr>
          <w:rFonts w:ascii="Times New Roman" w:hAnsi="Times New Roman" w:cs="Calibri"/>
          <w:sz w:val="16"/>
          <w:szCs w:val="16"/>
          <w:lang w:eastAsia="ar-SA"/>
        </w:rPr>
        <w:t xml:space="preserve"> ДОУ</w:t>
      </w:r>
    </w:p>
    <w:tbl>
      <w:tblPr>
        <w:tblW w:w="16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9"/>
        <w:gridCol w:w="2373"/>
        <w:gridCol w:w="1404"/>
        <w:gridCol w:w="948"/>
        <w:gridCol w:w="916"/>
        <w:gridCol w:w="2072"/>
        <w:gridCol w:w="1627"/>
        <w:gridCol w:w="1513"/>
        <w:gridCol w:w="2699"/>
      </w:tblGrid>
      <w:tr w:rsidR="0041598B" w:rsidRPr="000A0EDA" w:rsidTr="000A0EDA">
        <w:trPr>
          <w:gridAfter w:val="8"/>
          <w:wAfter w:w="13552" w:type="dxa"/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 w:cs="Calibri"/>
                <w:sz w:val="16"/>
                <w:szCs w:val="16"/>
                <w:lang w:eastAsia="ar-SA"/>
              </w:rPr>
              <w:t>(таблица 1 показатели 5, 6)</w:t>
            </w:r>
          </w:p>
        </w:tc>
      </w:tr>
      <w:tr w:rsidR="0041598B" w:rsidRPr="000A0EDA" w:rsidTr="000A0EDA">
        <w:trPr>
          <w:jc w:val="center"/>
        </w:trPr>
        <w:tc>
          <w:tcPr>
            <w:tcW w:w="16161" w:type="dxa"/>
            <w:gridSpan w:val="9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41598B" w:rsidRPr="000A0EDA" w:rsidTr="000A0EDA">
        <w:trPr>
          <w:trHeight w:val="429"/>
          <w:jc w:val="center"/>
        </w:trPr>
        <w:tc>
          <w:tcPr>
            <w:tcW w:w="16161" w:type="dxa"/>
            <w:gridSpan w:val="9"/>
            <w:vAlign w:val="center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2.1.«Развитие негосударственных и вариативных форм дошкольного образования» 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spacing w:after="0" w:line="240" w:lineRule="auto"/>
            </w:pPr>
          </w:p>
        </w:tc>
        <w:tc>
          <w:tcPr>
            <w:tcW w:w="1627" w:type="dxa"/>
          </w:tcPr>
          <w:p w:rsidR="0041598B" w:rsidRPr="000A0EDA" w:rsidRDefault="0041598B" w:rsidP="000A0EDA">
            <w:pPr>
              <w:spacing w:after="0" w:line="240" w:lineRule="auto"/>
            </w:pP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Удельный вес численности детей в возрасте от 2 месяцев до 3  лет, охваченных программами поддержки   раннего   развития, в общей численности детей      соответствующего возраста.</w:t>
            </w:r>
          </w:p>
          <w:p w:rsidR="0041598B" w:rsidRPr="000A0EDA" w:rsidRDefault="0041598B" w:rsidP="000A0ED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598B" w:rsidRPr="000A0EDA" w:rsidTr="000A0EDA">
        <w:trPr>
          <w:jc w:val="center"/>
        </w:trPr>
        <w:tc>
          <w:tcPr>
            <w:tcW w:w="16161" w:type="dxa"/>
            <w:gridSpan w:val="9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41598B" w:rsidRPr="000A0EDA" w:rsidTr="000A0EDA">
        <w:trPr>
          <w:jc w:val="center"/>
        </w:trPr>
        <w:tc>
          <w:tcPr>
            <w:tcW w:w="16161" w:type="dxa"/>
            <w:gridSpan w:val="9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41598B" w:rsidRPr="000A0EDA" w:rsidTr="000A0EDA">
        <w:trPr>
          <w:jc w:val="center"/>
        </w:trPr>
        <w:tc>
          <w:tcPr>
            <w:tcW w:w="16161" w:type="dxa"/>
            <w:gridSpan w:val="9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Оплата труда работников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организаций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Среднемесячная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</w:t>
            </w: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соблюдения соотношения зар. платы педагогов:</w:t>
            </w:r>
          </w:p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</w:t>
            </w: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требований письма министерства образования Сахалинской области от 21.07.2014 № 01-11/4524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Отношение среднемесячной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  <w:r w:rsidRPr="000A0ED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3.2.2.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Обновление технологий и содержания дошкольного образования за</w:t>
            </w:r>
            <w:r w:rsidRPr="000A0ED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 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воспитательно-образовательного </w:t>
            </w:r>
          </w:p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</w:t>
            </w: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материальное стимулирование. </w:t>
            </w: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598B" w:rsidRPr="000A0EDA" w:rsidTr="000A0EDA">
        <w:trPr>
          <w:jc w:val="center"/>
        </w:trPr>
        <w:tc>
          <w:tcPr>
            <w:tcW w:w="2609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lastRenderedPageBreak/>
              <w:t>3.2.5.</w:t>
            </w:r>
          </w:p>
        </w:tc>
        <w:tc>
          <w:tcPr>
            <w:tcW w:w="2373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404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8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6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072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627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1513" w:type="dxa"/>
          </w:tcPr>
          <w:p w:rsidR="0041598B" w:rsidRPr="000A0EDA" w:rsidRDefault="0041598B" w:rsidP="000A0E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699" w:type="dxa"/>
          </w:tcPr>
          <w:p w:rsidR="0041598B" w:rsidRPr="000A0EDA" w:rsidRDefault="0041598B" w:rsidP="000A0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0ED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41598B" w:rsidRDefault="0041598B" w:rsidP="00C62B2C">
      <w:pPr>
        <w:rPr>
          <w:rFonts w:ascii="Times New Roman" w:hAnsi="Times New Roman"/>
          <w:sz w:val="24"/>
          <w:szCs w:val="24"/>
        </w:rPr>
      </w:pPr>
    </w:p>
    <w:p w:rsidR="0041598B" w:rsidRDefault="0041598B" w:rsidP="00C62B2C">
      <w:pPr>
        <w:rPr>
          <w:rFonts w:ascii="Times New Roman" w:hAnsi="Times New Roman"/>
          <w:sz w:val="24"/>
          <w:szCs w:val="24"/>
        </w:rPr>
      </w:pPr>
    </w:p>
    <w:p w:rsidR="0041598B" w:rsidRDefault="0041598B" w:rsidP="00C62B2C">
      <w:pPr>
        <w:rPr>
          <w:rFonts w:ascii="Times New Roman" w:hAnsi="Times New Roman"/>
          <w:sz w:val="24"/>
          <w:szCs w:val="24"/>
        </w:rPr>
      </w:pPr>
    </w:p>
    <w:p w:rsidR="0041598B" w:rsidRDefault="0041598B" w:rsidP="00C62B2C">
      <w:pPr>
        <w:rPr>
          <w:rFonts w:ascii="Times New Roman" w:hAnsi="Times New Roman"/>
          <w:sz w:val="24"/>
          <w:szCs w:val="24"/>
        </w:rPr>
      </w:pPr>
    </w:p>
    <w:p w:rsidR="0041598B" w:rsidRDefault="0041598B" w:rsidP="00C62B2C">
      <w:pPr>
        <w:rPr>
          <w:rFonts w:ascii="Times New Roman" w:hAnsi="Times New Roman"/>
          <w:sz w:val="24"/>
          <w:szCs w:val="24"/>
        </w:rPr>
      </w:pPr>
    </w:p>
    <w:sectPr w:rsidR="0041598B" w:rsidSect="00E50B71">
      <w:footerReference w:type="default" r:id="rId7"/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8DB" w:rsidRDefault="005B58DB" w:rsidP="002A78E8">
      <w:pPr>
        <w:spacing w:after="0" w:line="240" w:lineRule="auto"/>
      </w:pPr>
      <w:r>
        <w:separator/>
      </w:r>
    </w:p>
  </w:endnote>
  <w:endnote w:type="continuationSeparator" w:id="1">
    <w:p w:rsidR="005B58DB" w:rsidRDefault="005B58DB" w:rsidP="002A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98B" w:rsidRDefault="00650FFC">
    <w:pPr>
      <w:pStyle w:val="a7"/>
      <w:jc w:val="center"/>
    </w:pPr>
    <w:fldSimple w:instr=" PAGE   \* MERGEFORMAT ">
      <w:r w:rsidR="00E50B71">
        <w:rPr>
          <w:noProof/>
        </w:rPr>
        <w:t>4</w:t>
      </w:r>
    </w:fldSimple>
  </w:p>
  <w:p w:rsidR="0041598B" w:rsidRDefault="004159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8DB" w:rsidRDefault="005B58DB" w:rsidP="002A78E8">
      <w:pPr>
        <w:spacing w:after="0" w:line="240" w:lineRule="auto"/>
      </w:pPr>
      <w:r>
        <w:separator/>
      </w:r>
    </w:p>
  </w:footnote>
  <w:footnote w:type="continuationSeparator" w:id="1">
    <w:p w:rsidR="005B58DB" w:rsidRDefault="005B58DB" w:rsidP="002A7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8F4"/>
    <w:rsid w:val="00011832"/>
    <w:rsid w:val="00013403"/>
    <w:rsid w:val="0003508F"/>
    <w:rsid w:val="000855B8"/>
    <w:rsid w:val="000911B4"/>
    <w:rsid w:val="000A0EDA"/>
    <w:rsid w:val="000C30AE"/>
    <w:rsid w:val="00102BD7"/>
    <w:rsid w:val="00107BB4"/>
    <w:rsid w:val="00110294"/>
    <w:rsid w:val="0012213E"/>
    <w:rsid w:val="0013659F"/>
    <w:rsid w:val="00163E4E"/>
    <w:rsid w:val="001949C8"/>
    <w:rsid w:val="001C5922"/>
    <w:rsid w:val="001D03E1"/>
    <w:rsid w:val="001F43A9"/>
    <w:rsid w:val="00242B48"/>
    <w:rsid w:val="002A2E29"/>
    <w:rsid w:val="002A78E8"/>
    <w:rsid w:val="002F0CD7"/>
    <w:rsid w:val="002F4CB1"/>
    <w:rsid w:val="003027B3"/>
    <w:rsid w:val="003046BF"/>
    <w:rsid w:val="0031151E"/>
    <w:rsid w:val="00311D07"/>
    <w:rsid w:val="00356F1E"/>
    <w:rsid w:val="00380B2E"/>
    <w:rsid w:val="00386324"/>
    <w:rsid w:val="003A59EB"/>
    <w:rsid w:val="003C50D7"/>
    <w:rsid w:val="003C5C52"/>
    <w:rsid w:val="003C6825"/>
    <w:rsid w:val="00411834"/>
    <w:rsid w:val="0041598B"/>
    <w:rsid w:val="0044054A"/>
    <w:rsid w:val="00463D43"/>
    <w:rsid w:val="00497030"/>
    <w:rsid w:val="004D66B0"/>
    <w:rsid w:val="004E20B3"/>
    <w:rsid w:val="004F0D19"/>
    <w:rsid w:val="005136F0"/>
    <w:rsid w:val="00524662"/>
    <w:rsid w:val="00567223"/>
    <w:rsid w:val="005857E8"/>
    <w:rsid w:val="005B58DB"/>
    <w:rsid w:val="005B749B"/>
    <w:rsid w:val="005D385A"/>
    <w:rsid w:val="00610874"/>
    <w:rsid w:val="00620B72"/>
    <w:rsid w:val="00631341"/>
    <w:rsid w:val="00650FFC"/>
    <w:rsid w:val="00663DAB"/>
    <w:rsid w:val="006764CC"/>
    <w:rsid w:val="006827EC"/>
    <w:rsid w:val="00685B7F"/>
    <w:rsid w:val="00691902"/>
    <w:rsid w:val="00691C8E"/>
    <w:rsid w:val="0069698A"/>
    <w:rsid w:val="006B18AA"/>
    <w:rsid w:val="006D296C"/>
    <w:rsid w:val="00713956"/>
    <w:rsid w:val="0072243D"/>
    <w:rsid w:val="00725CE5"/>
    <w:rsid w:val="007602BF"/>
    <w:rsid w:val="0078046B"/>
    <w:rsid w:val="007D3BC5"/>
    <w:rsid w:val="007E7A76"/>
    <w:rsid w:val="007F72EE"/>
    <w:rsid w:val="00801470"/>
    <w:rsid w:val="008419B1"/>
    <w:rsid w:val="00842BBF"/>
    <w:rsid w:val="008B01A7"/>
    <w:rsid w:val="008B4041"/>
    <w:rsid w:val="008E145B"/>
    <w:rsid w:val="008E2731"/>
    <w:rsid w:val="008E4C5E"/>
    <w:rsid w:val="0090669A"/>
    <w:rsid w:val="009608F4"/>
    <w:rsid w:val="009717D4"/>
    <w:rsid w:val="0097288A"/>
    <w:rsid w:val="009961B6"/>
    <w:rsid w:val="009A60AF"/>
    <w:rsid w:val="00A14662"/>
    <w:rsid w:val="00AB2B3E"/>
    <w:rsid w:val="00AB548A"/>
    <w:rsid w:val="00AC479A"/>
    <w:rsid w:val="00AC6BD5"/>
    <w:rsid w:val="00AD4512"/>
    <w:rsid w:val="00AF1526"/>
    <w:rsid w:val="00B116A9"/>
    <w:rsid w:val="00B121E7"/>
    <w:rsid w:val="00B37526"/>
    <w:rsid w:val="00B52539"/>
    <w:rsid w:val="00BB7FB8"/>
    <w:rsid w:val="00BE5B22"/>
    <w:rsid w:val="00BE75B0"/>
    <w:rsid w:val="00C04C73"/>
    <w:rsid w:val="00C50488"/>
    <w:rsid w:val="00C51663"/>
    <w:rsid w:val="00C62B2C"/>
    <w:rsid w:val="00C62C55"/>
    <w:rsid w:val="00C73AE5"/>
    <w:rsid w:val="00C936DA"/>
    <w:rsid w:val="00CC29C1"/>
    <w:rsid w:val="00CC54E0"/>
    <w:rsid w:val="00CD408B"/>
    <w:rsid w:val="00CD44DB"/>
    <w:rsid w:val="00D1649F"/>
    <w:rsid w:val="00D44FB9"/>
    <w:rsid w:val="00D55AC7"/>
    <w:rsid w:val="00D6251D"/>
    <w:rsid w:val="00DF2275"/>
    <w:rsid w:val="00DF7781"/>
    <w:rsid w:val="00E10F3B"/>
    <w:rsid w:val="00E2316B"/>
    <w:rsid w:val="00E50B71"/>
    <w:rsid w:val="00E653F2"/>
    <w:rsid w:val="00E722BD"/>
    <w:rsid w:val="00E84B81"/>
    <w:rsid w:val="00EE4120"/>
    <w:rsid w:val="00EE703D"/>
    <w:rsid w:val="00EF1EEB"/>
    <w:rsid w:val="00F0032F"/>
    <w:rsid w:val="00F36083"/>
    <w:rsid w:val="00F62A85"/>
    <w:rsid w:val="00F777F6"/>
    <w:rsid w:val="00F82D8E"/>
    <w:rsid w:val="00F95E63"/>
    <w:rsid w:val="00FB4EC3"/>
    <w:rsid w:val="00FC5E40"/>
    <w:rsid w:val="00FC7B1F"/>
    <w:rsid w:val="00FD3809"/>
    <w:rsid w:val="00FF5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2A7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2A78E8"/>
    <w:rPr>
      <w:rFonts w:cs="Times New Roman"/>
    </w:rPr>
  </w:style>
  <w:style w:type="paragraph" w:styleId="a7">
    <w:name w:val="footer"/>
    <w:basedOn w:val="a"/>
    <w:link w:val="a8"/>
    <w:uiPriority w:val="99"/>
    <w:rsid w:val="002A7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A78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3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1991</Words>
  <Characters>11355</Characters>
  <Application>Microsoft Office Word</Application>
  <DocSecurity>0</DocSecurity>
  <Lines>94</Lines>
  <Paragraphs>26</Paragraphs>
  <ScaleCrop>false</ScaleCrop>
  <Company>users</Company>
  <LinksUpToDate>false</LinksUpToDate>
  <CharactersWithSpaces>13320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70</cp:revision>
  <cp:lastPrinted>2015-03-27T04:26:00Z</cp:lastPrinted>
  <dcterms:created xsi:type="dcterms:W3CDTF">2014-03-24T02:42:00Z</dcterms:created>
  <dcterms:modified xsi:type="dcterms:W3CDTF">2015-04-09T04:57:00Z</dcterms:modified>
</cp:coreProperties>
</file>