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Default="00F82587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297177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2767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Default="0032767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2A581F" w:rsidRPr="008F01E7" w:rsidRDefault="002A581F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1F03DA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Департамент</w:t>
            </w:r>
            <w:r w:rsidR="003765B5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Департамент</w:t>
            </w:r>
            <w:r w:rsidR="006C7006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C2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>оборудование системами видеонаблюдения и охранной 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874074"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874074"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874074" w:rsidP="008740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874074">
              <w:rPr>
                <w:rFonts w:ascii="Times New Roman" w:hAnsi="Times New Roman"/>
                <w:sz w:val="16"/>
                <w:szCs w:val="16"/>
              </w:rPr>
              <w:t xml:space="preserve">борудование системами видеонаблюдения и охранной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сигнализвцией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, системами оповещения и управления </w:t>
            </w:r>
            <w:proofErr w:type="spellStart"/>
            <w:proofErr w:type="gramStart"/>
            <w:r w:rsidRPr="00874074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Pr="00874074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874074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="008740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9670EB">
              <w:rPr>
                <w:rFonts w:ascii="Times New Roman" w:hAnsi="Times New Roman"/>
                <w:sz w:val="16"/>
                <w:szCs w:val="16"/>
              </w:rPr>
              <w:t>;1.6;1.10.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993BF8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993BF8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993BF8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работников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993B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993BF8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383F52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83F52">
              <w:rPr>
                <w:rFonts w:ascii="Times New Roman" w:hAnsi="Times New Roman"/>
                <w:sz w:val="16"/>
                <w:szCs w:val="16"/>
              </w:rPr>
              <w:t xml:space="preserve">Строительство школы на 400 мест по ул. Некрасова в </w:t>
            </w:r>
            <w:proofErr w:type="spellStart"/>
            <w:r w:rsidRPr="00383F52"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383F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383F5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E345EC" w:rsidRPr="008F01E7" w:rsidTr="00B1051E">
        <w:trPr>
          <w:gridAfter w:val="7"/>
          <w:wAfter w:w="14367" w:type="dxa"/>
        </w:trPr>
        <w:tc>
          <w:tcPr>
            <w:tcW w:w="1420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1.1.4.</w:t>
            </w:r>
          </w:p>
        </w:tc>
        <w:tc>
          <w:tcPr>
            <w:tcW w:w="2622" w:type="dxa"/>
            <w:gridSpan w:val="2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Строительство  школы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на 330 мест в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с.Чехов</w:t>
            </w:r>
            <w:proofErr w:type="spellEnd"/>
          </w:p>
        </w:tc>
        <w:tc>
          <w:tcPr>
            <w:tcW w:w="1545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345EC" w:rsidRPr="00BE4E1B" w:rsidRDefault="001D4D62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80" w:type="dxa"/>
          </w:tcPr>
          <w:p w:rsidR="00E345EC" w:rsidRPr="00BE4E1B" w:rsidRDefault="001D4D62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2421" w:type="dxa"/>
            <w:gridSpan w:val="3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345EC" w:rsidRPr="00BE4E1B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345EC" w:rsidRPr="008F01E7" w:rsidRDefault="00E345EC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E4E1B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BE4E1B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>;2.5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2A5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8E10ED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10ED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F802D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825A61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 xml:space="preserve">МО «Холмский городской </w:t>
            </w:r>
            <w:proofErr w:type="spellStart"/>
            <w:r w:rsidR="00993BF8">
              <w:rPr>
                <w:rFonts w:ascii="Times New Roman" w:hAnsi="Times New Roman"/>
                <w:sz w:val="16"/>
                <w:szCs w:val="16"/>
              </w:rPr>
              <w:t>округ</w:t>
            </w:r>
            <w:proofErr w:type="gramStart"/>
            <w:r w:rsidR="00993BF8">
              <w:rPr>
                <w:rFonts w:ascii="Times New Roman" w:hAnsi="Times New Roman"/>
                <w:sz w:val="16"/>
                <w:szCs w:val="16"/>
              </w:rPr>
              <w:t>»</w:t>
            </w:r>
            <w:r w:rsidR="00AD17DF" w:rsidRPr="00D95B24">
              <w:rPr>
                <w:rFonts w:ascii="Times New Roman" w:hAnsi="Times New Roman"/>
                <w:sz w:val="16"/>
                <w:szCs w:val="16"/>
              </w:rPr>
              <w:t>.Благоустройство</w:t>
            </w:r>
            <w:proofErr w:type="spellEnd"/>
            <w:proofErr w:type="gram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r w:rsidR="00993BF8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545" w:type="dxa"/>
          </w:tcPr>
          <w:p w:rsidR="00BC6D55" w:rsidRPr="00B378E6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BC6D55" w:rsidRPr="00B378E6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1051E" w:rsidRPr="008F01E7" w:rsidTr="00B1051E">
        <w:trPr>
          <w:gridAfter w:val="7"/>
          <w:wAfter w:w="14367" w:type="dxa"/>
        </w:trPr>
        <w:tc>
          <w:tcPr>
            <w:tcW w:w="1420" w:type="dxa"/>
          </w:tcPr>
          <w:p w:rsidR="00B1051E" w:rsidRPr="001A36D2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A36D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B1051E" w:rsidRPr="00B378E6" w:rsidRDefault="00B1051E" w:rsidP="00B1051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спортивного </w:t>
            </w:r>
            <w:proofErr w:type="gramStart"/>
            <w:r w:rsidRPr="00BE4E1B">
              <w:rPr>
                <w:rFonts w:ascii="Times New Roman" w:hAnsi="Times New Roman"/>
                <w:sz w:val="16"/>
                <w:szCs w:val="16"/>
              </w:rPr>
              <w:t>зала  МАОУ</w:t>
            </w:r>
            <w:proofErr w:type="gram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СОШ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с.Чапланово</w:t>
            </w:r>
            <w:proofErr w:type="spell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( в </w:t>
            </w:r>
            <w:proofErr w:type="spellStart"/>
            <w:r w:rsidRPr="00BE4E1B">
              <w:rPr>
                <w:rFonts w:ascii="Times New Roman" w:hAnsi="Times New Roman"/>
                <w:sz w:val="16"/>
                <w:szCs w:val="16"/>
              </w:rPr>
              <w:t>т.ч.разработка</w:t>
            </w:r>
            <w:proofErr w:type="spellEnd"/>
            <w:r w:rsidRPr="00BE4E1B">
              <w:rPr>
                <w:rFonts w:ascii="Times New Roman" w:hAnsi="Times New Roman"/>
                <w:sz w:val="16"/>
                <w:szCs w:val="16"/>
              </w:rPr>
              <w:t xml:space="preserve"> ПСД)</w:t>
            </w:r>
          </w:p>
        </w:tc>
        <w:tc>
          <w:tcPr>
            <w:tcW w:w="1545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Pr="00B378E6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1051E" w:rsidRPr="00B378E6" w:rsidRDefault="00B1051E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980" w:type="dxa"/>
          </w:tcPr>
          <w:p w:rsidR="00B1051E" w:rsidRPr="00B378E6" w:rsidRDefault="00B1051E" w:rsidP="00B10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421" w:type="dxa"/>
            <w:gridSpan w:val="3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1051E" w:rsidRPr="00B378E6" w:rsidRDefault="00B1051E" w:rsidP="00B105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9;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10;</w:t>
            </w:r>
            <w:r w:rsidR="006479C2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C21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lastRenderedPageBreak/>
              <w:t>сигнализ</w:t>
            </w:r>
            <w:r w:rsidR="00C21ADB">
              <w:rPr>
                <w:rFonts w:ascii="Times New Roman" w:hAnsi="Times New Roman"/>
                <w:sz w:val="16"/>
                <w:szCs w:val="16"/>
              </w:rPr>
              <w:t>а</w:t>
            </w:r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283D46" w:rsidRPr="00283D46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283D46" w:rsidRPr="00283D46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МКУ «Служба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;2.10.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E43007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D4985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lastRenderedPageBreak/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требований письма министерства образования Сахалинской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F1081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B1D2B" w:rsidRPr="008F01E7" w:rsidRDefault="003B1D2B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3B1D2B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B1D2B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B1D2B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3B1D2B" w:rsidRPr="008F01E7" w:rsidRDefault="003B1D2B" w:rsidP="003B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3B1D2B" w:rsidRPr="008F01E7" w:rsidRDefault="003B1D2B" w:rsidP="003B1D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B1D2B" w:rsidRPr="008F01E7" w:rsidRDefault="00E14948" w:rsidP="00E149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3B1D2B" w:rsidRPr="008F01E7" w:rsidRDefault="003B1D2B" w:rsidP="00B87A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45E29"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1545" w:type="dxa"/>
          </w:tcPr>
          <w:p w:rsidR="009B7508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9B7508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2A581F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993BF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</w:t>
            </w:r>
            <w:r w:rsidR="002A581F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Выполнение норм и требований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Обеспечение стабильного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к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5339FC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A62BEF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3.1.8.</w:t>
            </w:r>
          </w:p>
        </w:tc>
        <w:tc>
          <w:tcPr>
            <w:tcW w:w="2622" w:type="dxa"/>
            <w:gridSpan w:val="2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1D2B">
              <w:rPr>
                <w:rFonts w:ascii="Times New Roman" w:hAnsi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45" w:type="dxa"/>
          </w:tcPr>
          <w:p w:rsidR="008A761E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8A761E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8A761E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8A761E" w:rsidRPr="008F01E7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8A761E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8A761E" w:rsidRPr="008F01E7" w:rsidRDefault="008A761E" w:rsidP="00B87A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199" w:type="dxa"/>
          </w:tcPr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г. –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г.–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2022 г – 100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%;</w:t>
            </w:r>
          </w:p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8A761E" w:rsidRPr="008F01E7" w:rsidRDefault="008A761E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поддержки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классных руководителей</w:t>
            </w:r>
          </w:p>
        </w:tc>
        <w:tc>
          <w:tcPr>
            <w:tcW w:w="1892" w:type="dxa"/>
            <w:gridSpan w:val="3"/>
          </w:tcPr>
          <w:p w:rsidR="008A761E" w:rsidRPr="008F01E7" w:rsidRDefault="008A761E" w:rsidP="00B87A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2.12</w:t>
            </w: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965F87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65F87">
              <w:rPr>
                <w:rFonts w:ascii="Times New Roman" w:hAnsi="Times New Roman"/>
                <w:sz w:val="16"/>
                <w:szCs w:val="16"/>
              </w:rPr>
              <w:t xml:space="preserve">Развитие муниципальной системы выявления одаренных детей, в том числе проведение </w:t>
            </w:r>
            <w:proofErr w:type="spellStart"/>
            <w:r w:rsidRPr="00965F87">
              <w:rPr>
                <w:rFonts w:ascii="Times New Roman" w:hAnsi="Times New Roman"/>
                <w:sz w:val="16"/>
                <w:szCs w:val="16"/>
              </w:rPr>
              <w:t>мунциипальных</w:t>
            </w:r>
            <w:proofErr w:type="spellEnd"/>
            <w:r w:rsidRPr="00965F87">
              <w:rPr>
                <w:rFonts w:ascii="Times New Roman" w:hAnsi="Times New Roman"/>
                <w:sz w:val="16"/>
                <w:szCs w:val="16"/>
              </w:rPr>
              <w:t xml:space="preserve"> мероприятий, награждение одаренных школьников, участие в региональных и всероссийских мероприятиях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993BF8" w:rsidP="00EF3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616376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EF39D2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6D42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6D427D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DE2398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предоставления транспортных услуг обучающимся</w:t>
            </w:r>
          </w:p>
        </w:tc>
        <w:tc>
          <w:tcPr>
            <w:tcW w:w="2199" w:type="dxa"/>
          </w:tcPr>
          <w:p w:rsidR="00DE2398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2020 </w:t>
            </w:r>
            <w:r w:rsidR="00DE461D">
              <w:rPr>
                <w:rFonts w:ascii="Times New Roman" w:hAnsi="Times New Roman"/>
                <w:sz w:val="16"/>
                <w:szCs w:val="16"/>
                <w:lang w:eastAsia="ar-SA"/>
              </w:rPr>
              <w:t>год -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2023 год – 3 100 чел.;</w:t>
            </w:r>
          </w:p>
          <w:p w:rsidR="006D427D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2024 год – 3 100 чел.;</w:t>
            </w:r>
          </w:p>
          <w:p w:rsidR="006D427D" w:rsidRPr="008F01E7" w:rsidRDefault="006D427D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 год – 3 100 чел.</w:t>
            </w:r>
          </w:p>
        </w:tc>
        <w:tc>
          <w:tcPr>
            <w:tcW w:w="2034" w:type="dxa"/>
          </w:tcPr>
          <w:p w:rsidR="00DE2398" w:rsidRPr="008F01E7" w:rsidRDefault="004316B1" w:rsidP="004316B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Ухудшение условий социальной поддержки </w:t>
            </w:r>
            <w:r>
              <w:rPr>
                <w:rFonts w:ascii="Times New Roman" w:hAnsi="Times New Roman"/>
                <w:sz w:val="16"/>
                <w:szCs w:val="16"/>
              </w:rPr>
              <w:t>обучающихся общеобразовательных организаций</w:t>
            </w:r>
          </w:p>
        </w:tc>
        <w:tc>
          <w:tcPr>
            <w:tcW w:w="1892" w:type="dxa"/>
            <w:gridSpan w:val="3"/>
          </w:tcPr>
          <w:p w:rsidR="00DE2398" w:rsidRPr="006D427D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D427D">
              <w:rPr>
                <w:rFonts w:ascii="Times New Roman" w:hAnsi="Times New Roman"/>
                <w:sz w:val="16"/>
                <w:szCs w:val="16"/>
              </w:rPr>
              <w:t>2.11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CA3B14" w:rsidRPr="008F01E7" w:rsidRDefault="00CA3B14" w:rsidP="00EF3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r w:rsidR="00EF39D2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993BF8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993BF8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2A58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993BF8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993BF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386D19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76EF">
              <w:rPr>
                <w:rFonts w:ascii="Times New Roman" w:hAnsi="Times New Roman"/>
                <w:sz w:val="16"/>
                <w:szCs w:val="16"/>
              </w:rPr>
              <w:lastRenderedPageBreak/>
              <w:t>2.3.1.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56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="0005619B">
              <w:rPr>
                <w:rFonts w:ascii="Times New Roman" w:hAnsi="Times New Roman"/>
                <w:sz w:val="16"/>
                <w:szCs w:val="16"/>
              </w:rPr>
              <w:t>образовательных учреждений (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оборудование системами видеонаблюдения и охранной </w:t>
            </w:r>
            <w:r w:rsidR="00C21ADB">
              <w:rPr>
                <w:rFonts w:ascii="Times New Roman" w:hAnsi="Times New Roman"/>
                <w:sz w:val="16"/>
                <w:szCs w:val="16"/>
              </w:rPr>
              <w:t>сигнализа</w:t>
            </w:r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цией, системами оповещения и управления </w:t>
            </w:r>
            <w:proofErr w:type="spellStart"/>
            <w:proofErr w:type="gram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эвакуацией,наружного</w:t>
            </w:r>
            <w:proofErr w:type="spellEnd"/>
            <w:proofErr w:type="gram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освещения, постами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охраны,средствами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 xml:space="preserve"> передачи тревожных сообщений в подразделения вневедомственной охраны, установка ограждений, установка системы контроля и управления доступом, в </w:t>
            </w:r>
            <w:proofErr w:type="spellStart"/>
            <w:r w:rsidR="0005619B" w:rsidRPr="0005619B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="0005619B" w:rsidRPr="0005619B">
              <w:rPr>
                <w:rFonts w:ascii="Times New Roman" w:hAnsi="Times New Roman"/>
                <w:sz w:val="16"/>
                <w:szCs w:val="16"/>
              </w:rPr>
              <w:t>. разработка ПСД</w:t>
            </w:r>
            <w:r w:rsidR="0005619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r w:rsidR="009670EB">
              <w:rPr>
                <w:rFonts w:ascii="Times New Roman" w:hAnsi="Times New Roman"/>
                <w:sz w:val="16"/>
                <w:szCs w:val="16"/>
              </w:rPr>
              <w:t>;3.6.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  <w:p w:rsidR="00CA3B14" w:rsidRPr="008F01E7" w:rsidRDefault="00CA3B14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FA7497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а также участие в областных творческих конкурсах </w:t>
            </w:r>
            <w:r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различным направленностям</w:t>
            </w:r>
            <w:r w:rsidR="007D726F" w:rsidRPr="007D726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образования. Награждение талантливых детей и творческих коллективов учреждений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076EF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881545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1545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мероприятиях различного уровня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993BF8" w:rsidP="00180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="0018024E" w:rsidRPr="008F01E7">
              <w:rPr>
                <w:rFonts w:ascii="Times New Roman" w:hAnsi="Times New Roman"/>
                <w:bCs/>
                <w:sz w:val="16"/>
                <w:szCs w:val="16"/>
              </w:rPr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16341" w:rsidRPr="008F01E7" w:rsidTr="00604AB2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16341" w:rsidRPr="008F01E7" w:rsidRDefault="00916341" w:rsidP="00916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9163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Обеспечение </w:t>
            </w:r>
            <w:bookmarkStart w:id="1" w:name="_GoBack"/>
            <w:r w:rsidRPr="009163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персон</w:t>
            </w:r>
            <w:bookmarkEnd w:id="1"/>
            <w:r w:rsidRPr="009163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ифицированного финансирования дополнительного образования детей</w:t>
            </w:r>
          </w:p>
        </w:tc>
      </w:tr>
      <w:tr w:rsidR="00916341" w:rsidRPr="008F01E7" w:rsidTr="00604AB2">
        <w:trPr>
          <w:gridAfter w:val="7"/>
          <w:wAfter w:w="14367" w:type="dxa"/>
        </w:trPr>
        <w:tc>
          <w:tcPr>
            <w:tcW w:w="1420" w:type="dxa"/>
          </w:tcPr>
          <w:p w:rsidR="00916341" w:rsidRPr="008F01E7" w:rsidRDefault="00916341" w:rsidP="00604AB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2622" w:type="dxa"/>
            <w:gridSpan w:val="2"/>
          </w:tcPr>
          <w:p w:rsidR="00916341" w:rsidRPr="008F01E7" w:rsidRDefault="00916341" w:rsidP="0060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4E1B">
              <w:rPr>
                <w:rFonts w:ascii="Times New Roman" w:hAnsi="Times New Roman"/>
                <w:sz w:val="16"/>
                <w:szCs w:val="16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45" w:type="dxa"/>
          </w:tcPr>
          <w:p w:rsidR="00916341" w:rsidRPr="008F01E7" w:rsidRDefault="00916341" w:rsidP="00604A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6341">
              <w:rPr>
                <w:rFonts w:ascii="Times New Roman" w:hAnsi="Times New Roman"/>
                <w:sz w:val="16"/>
                <w:szCs w:val="16"/>
              </w:rPr>
              <w:t>Департамент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16341" w:rsidRPr="008F01E7" w:rsidRDefault="00916341" w:rsidP="00916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80" w:type="dxa"/>
          </w:tcPr>
          <w:p w:rsidR="00916341" w:rsidRPr="008F01E7" w:rsidRDefault="00916341" w:rsidP="0060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16341" w:rsidRPr="008F01E7" w:rsidRDefault="007C3603" w:rsidP="008859E1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C3603">
              <w:rPr>
                <w:rFonts w:ascii="Times New Roman" w:hAnsi="Times New Roman"/>
                <w:sz w:val="16"/>
                <w:szCs w:val="16"/>
                <w:lang w:eastAsia="ru-RU"/>
              </w:rPr>
              <w:t>Закрепление за детьми индивидуальных гарантий по оплате выбираемых ими услуг по реализации дополнительных программ</w:t>
            </w:r>
          </w:p>
        </w:tc>
        <w:tc>
          <w:tcPr>
            <w:tcW w:w="2199" w:type="dxa"/>
          </w:tcPr>
          <w:p w:rsidR="00916341" w:rsidRDefault="001D4D62" w:rsidP="00604AB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</w:rPr>
              <w:t>образования</w:t>
            </w:r>
            <w:r w:rsidR="008525AA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общей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численности детей, получающих дополнительное образование за счет бюджетных средств (%)</w:t>
            </w:r>
            <w:r w:rsidR="008525AA">
              <w:rPr>
                <w:rFonts w:ascii="Times New Roman" w:hAnsi="Times New Roman"/>
                <w:bCs/>
                <w:sz w:val="16"/>
                <w:szCs w:val="16"/>
              </w:rPr>
              <w:t xml:space="preserve"> (за исключением обучающих в детских школах искусств)</w:t>
            </w:r>
          </w:p>
          <w:p w:rsidR="001D4D62" w:rsidRPr="008F01E7" w:rsidRDefault="001D4D62" w:rsidP="00D422BA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Доля детей в возрасте от 5 до 18 лет, использующих </w:t>
            </w:r>
            <w:r w:rsidR="00D422BA">
              <w:rPr>
                <w:rFonts w:ascii="Times New Roman" w:hAnsi="Times New Roman"/>
                <w:bCs/>
                <w:sz w:val="16"/>
                <w:szCs w:val="16"/>
              </w:rPr>
              <w:t>средства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персонифицированного финансирования</w:t>
            </w:r>
            <w:r w:rsidR="00114B05">
              <w:rPr>
                <w:rFonts w:ascii="Times New Roman" w:hAnsi="Times New Roman"/>
                <w:bCs/>
                <w:sz w:val="16"/>
                <w:szCs w:val="16"/>
              </w:rPr>
              <w:t xml:space="preserve"> (%)</w:t>
            </w:r>
          </w:p>
        </w:tc>
        <w:tc>
          <w:tcPr>
            <w:tcW w:w="2034" w:type="dxa"/>
          </w:tcPr>
          <w:p w:rsidR="00916341" w:rsidRPr="008F01E7" w:rsidRDefault="0083228D" w:rsidP="00604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</w:t>
            </w:r>
          </w:p>
        </w:tc>
        <w:tc>
          <w:tcPr>
            <w:tcW w:w="1892" w:type="dxa"/>
            <w:gridSpan w:val="3"/>
          </w:tcPr>
          <w:p w:rsidR="00916341" w:rsidRPr="008F01E7" w:rsidRDefault="000A6E07" w:rsidP="0060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4.</w:t>
            </w:r>
            <w:r w:rsidR="00114B05" w:rsidRPr="008F01E7">
              <w:rPr>
                <w:rFonts w:ascii="Times New Roman" w:hAnsi="Times New Roman"/>
                <w:sz w:val="16"/>
                <w:szCs w:val="16"/>
              </w:rPr>
              <w:t xml:space="preserve"> Индикатор (показатель) </w:t>
            </w:r>
            <w:r w:rsidR="00114B0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14B05">
              <w:rPr>
                <w:rFonts w:ascii="Times New Roman" w:hAnsi="Times New Roman"/>
                <w:sz w:val="16"/>
                <w:szCs w:val="16"/>
              </w:rPr>
              <w:t>2</w:t>
            </w:r>
            <w:r w:rsidR="00114B05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114B05">
              <w:rPr>
                <w:rFonts w:ascii="Times New Roman" w:hAnsi="Times New Roman"/>
                <w:sz w:val="16"/>
                <w:szCs w:val="16"/>
              </w:rPr>
              <w:t>,26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993BF8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93BF8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93BF8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993BF8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  <w:r w:rsidR="0018024E">
              <w:t xml:space="preserve"> </w:t>
            </w:r>
            <w:r w:rsidR="0018024E" w:rsidRPr="0018024E">
              <w:rPr>
                <w:rFonts w:ascii="Times New Roman" w:hAnsi="Times New Roman"/>
                <w:sz w:val="16"/>
                <w:szCs w:val="16"/>
              </w:rPr>
              <w:t>Департамент культуры, спорта и молодежной политики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993BF8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993BF8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эффективного контракта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завершен переход к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Заключение трудовых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Снижение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993BF8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993BF8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993BF8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993BF8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993BF8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493A86" w:rsidP="00493A8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93A8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профессиональные конкурсы: «Учитель года», «Воспитатель года», «Самый классный </w:t>
            </w:r>
            <w:proofErr w:type="spellStart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классный</w:t>
            </w:r>
            <w:proofErr w:type="spellEnd"/>
            <w:r w:rsidRPr="00493A86">
              <w:rPr>
                <w:rFonts w:ascii="Times New Roman" w:hAnsi="Times New Roman" w:cs="Times New Roman"/>
                <w:sz w:val="16"/>
                <w:szCs w:val="16"/>
              </w:rPr>
              <w:t>», «Сердце отдаю детям» и участие в конкурсах профессионального мастерства различного уровня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 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МО «Холмский городской округ».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округ». Информационно-методический центр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  <w:r w:rsidR="00993BF8"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993BF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993BF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F67EFD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2A58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2A5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07092" w:rsidRPr="008F01E7" w:rsidTr="00B87A49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907092" w:rsidRPr="00907092" w:rsidRDefault="00907092" w:rsidP="009070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Мероприятие 7.</w:t>
            </w:r>
            <w:r>
              <w:t xml:space="preserve"> 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Содействие в обеспечении образовательных учреждений муниципальных образований Сахалинской </w:t>
            </w:r>
            <w:r w:rsidR="00604AB2" w:rsidRPr="00907092">
              <w:rPr>
                <w:rFonts w:ascii="Times New Roman" w:hAnsi="Times New Roman"/>
                <w:b/>
                <w:sz w:val="20"/>
                <w:szCs w:val="20"/>
              </w:rPr>
              <w:t>области педагогическими</w:t>
            </w:r>
            <w:r w:rsidRPr="00907092">
              <w:rPr>
                <w:rFonts w:ascii="Times New Roman" w:hAnsi="Times New Roman"/>
                <w:b/>
                <w:sz w:val="20"/>
                <w:szCs w:val="20"/>
              </w:rPr>
              <w:t xml:space="preserve"> кадрами</w:t>
            </w:r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622" w:type="dxa"/>
            <w:gridSpan w:val="2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7092">
              <w:rPr>
                <w:rFonts w:ascii="Times New Roman" w:hAnsi="Times New Roman"/>
                <w:sz w:val="16"/>
                <w:szCs w:val="16"/>
              </w:rPr>
              <w:t>Обучение граждан по образовательным программам высшего образования по направлению "Образование и педагогика"</w:t>
            </w:r>
          </w:p>
        </w:tc>
        <w:tc>
          <w:tcPr>
            <w:tcW w:w="1545" w:type="dxa"/>
          </w:tcPr>
          <w:p w:rsidR="00907092" w:rsidRPr="008F01E7" w:rsidRDefault="00993BF8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Департамент</w:t>
            </w:r>
            <w:r w:rsidR="00907092" w:rsidRPr="008F01E7">
              <w:rPr>
                <w:rFonts w:ascii="Times New Roman" w:hAnsi="Times New Roman"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907092" w:rsidRPr="008F01E7" w:rsidRDefault="00907092" w:rsidP="009070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граждан, окончивших образовательные организации высшего образования и трудоустроенные в образовательные учреждения </w:t>
            </w:r>
          </w:p>
        </w:tc>
        <w:tc>
          <w:tcPr>
            <w:tcW w:w="2199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Рассчитывается в соответствии с договорами об обучении, заключенными органами местного самоуправления</w:t>
            </w:r>
          </w:p>
        </w:tc>
        <w:tc>
          <w:tcPr>
            <w:tcW w:w="2034" w:type="dxa"/>
          </w:tcPr>
          <w:p w:rsidR="00907092" w:rsidRPr="008F01E7" w:rsidRDefault="00907092" w:rsidP="00B87A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Нехватка педагогических кадров</w:t>
            </w:r>
          </w:p>
        </w:tc>
        <w:tc>
          <w:tcPr>
            <w:tcW w:w="1892" w:type="dxa"/>
            <w:gridSpan w:val="3"/>
          </w:tcPr>
          <w:p w:rsidR="00907092" w:rsidRPr="008F01E7" w:rsidRDefault="00907092" w:rsidP="009070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16; 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993BF8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C71DE1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993BF8" w:rsidP="0099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</w:t>
            </w:r>
            <w:r w:rsidR="00C71DE1">
              <w:rPr>
                <w:rFonts w:ascii="Times New Roman" w:hAnsi="Times New Roman"/>
                <w:bCs/>
                <w:sz w:val="16"/>
                <w:szCs w:val="16"/>
              </w:rPr>
              <w:t xml:space="preserve">политики </w:t>
            </w:r>
            <w:r w:rsidR="00C71DE1"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993BF8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B87A49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6F5C0A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3A18C3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8C3">
              <w:rPr>
                <w:rFonts w:ascii="Times New Roman" w:hAnsi="Times New Roman"/>
                <w:sz w:val="16"/>
                <w:szCs w:val="16"/>
              </w:rPr>
              <w:t xml:space="preserve">Создание условий для функционирования лагерей с питанием: страхование, дератизация,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акарицидная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обработка, средства оказания первой медицинской помощи, прохождение </w:t>
            </w:r>
            <w:proofErr w:type="spellStart"/>
            <w:r w:rsidRPr="003A18C3">
              <w:rPr>
                <w:rFonts w:ascii="Times New Roman" w:hAnsi="Times New Roman"/>
                <w:sz w:val="16"/>
                <w:szCs w:val="16"/>
              </w:rPr>
              <w:t>санминимума</w:t>
            </w:r>
            <w:proofErr w:type="spellEnd"/>
            <w:r w:rsidRPr="003A18C3">
              <w:rPr>
                <w:rFonts w:ascii="Times New Roman" w:hAnsi="Times New Roman"/>
                <w:sz w:val="16"/>
                <w:szCs w:val="16"/>
              </w:rPr>
              <w:t xml:space="preserve"> и лабораторных исследований</w:t>
            </w:r>
          </w:p>
        </w:tc>
        <w:tc>
          <w:tcPr>
            <w:tcW w:w="1545" w:type="dxa"/>
          </w:tcPr>
          <w:p w:rsidR="00B87A49" w:rsidRPr="008F01E7" w:rsidRDefault="00993BF8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CA3B14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="00B87A49"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B87A49" w:rsidRPr="008F01E7" w:rsidRDefault="00B87A49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8F01E7" w:rsidRDefault="00B87A49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993BF8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714A63" w:rsidRPr="008F01E7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CA3B14" w:rsidRPr="00CA7FB1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993BF8" w:rsidRPr="008F01E7" w:rsidTr="00B87A49">
        <w:trPr>
          <w:gridAfter w:val="7"/>
          <w:wAfter w:w="14367" w:type="dxa"/>
        </w:trPr>
        <w:tc>
          <w:tcPr>
            <w:tcW w:w="1420" w:type="dxa"/>
          </w:tcPr>
          <w:p w:rsidR="009F7CA3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9F7CA3" w:rsidRPr="008F01E7" w:rsidRDefault="009F7CA3" w:rsidP="009F7CA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CA3">
              <w:rPr>
                <w:rFonts w:ascii="Times New Roman" w:hAnsi="Times New Roman"/>
                <w:sz w:val="16"/>
                <w:szCs w:val="16"/>
              </w:rPr>
              <w:t>Приобретение средств индивидуальной защиты для организации трудоустройства несовершеннолетних</w:t>
            </w:r>
          </w:p>
        </w:tc>
        <w:tc>
          <w:tcPr>
            <w:tcW w:w="1545" w:type="dxa"/>
          </w:tcPr>
          <w:p w:rsidR="00714A63" w:rsidRPr="008F01E7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администрации МО «Холмский городской округ»</w:t>
            </w:r>
          </w:p>
          <w:p w:rsidR="009F7CA3" w:rsidRPr="00CA7FB1" w:rsidRDefault="00714A63" w:rsidP="00714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культуры, спорта и молодежной политики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F7CA3" w:rsidRPr="008F01E7" w:rsidRDefault="009F7CA3" w:rsidP="009F7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980" w:type="dxa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F7CA3" w:rsidRPr="008F01E7" w:rsidRDefault="009F7CA3" w:rsidP="00B8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9F7CA3" w:rsidRPr="008F01E7" w:rsidRDefault="009F7CA3" w:rsidP="00B8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9F7CA3" w:rsidRPr="008F01E7" w:rsidRDefault="009F7CA3" w:rsidP="00B8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18;5.3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993BF8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993BF8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Доля учреждений образования от общего количества муниципальных учреждений образования, хозяйственное обслуживание которых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передано М</w:t>
            </w:r>
            <w:r w:rsidR="00CA7FB1">
              <w:rPr>
                <w:rFonts w:ascii="Times New Roman" w:hAnsi="Times New Roman"/>
                <w:sz w:val="16"/>
                <w:szCs w:val="16"/>
              </w:rPr>
              <w:t>К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Увеличение риска аварийной ситуации на территории 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993BF8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993BF8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Департамент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9A" w:rsidRDefault="000B689A" w:rsidP="009C79D3">
      <w:pPr>
        <w:spacing w:after="0" w:line="240" w:lineRule="auto"/>
      </w:pPr>
      <w:r>
        <w:separator/>
      </w:r>
    </w:p>
  </w:endnote>
  <w:endnote w:type="continuationSeparator" w:id="0">
    <w:p w:rsidR="000B689A" w:rsidRDefault="000B689A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AB2" w:rsidRDefault="00604AB2">
    <w:pPr>
      <w:pStyle w:val="a7"/>
      <w:jc w:val="center"/>
    </w:pPr>
  </w:p>
  <w:p w:rsidR="00604AB2" w:rsidRDefault="00604A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9A" w:rsidRDefault="000B689A" w:rsidP="009C79D3">
      <w:pPr>
        <w:spacing w:after="0" w:line="240" w:lineRule="auto"/>
      </w:pPr>
      <w:r>
        <w:separator/>
      </w:r>
    </w:p>
  </w:footnote>
  <w:footnote w:type="continuationSeparator" w:id="0">
    <w:p w:rsidR="000B689A" w:rsidRDefault="000B689A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5619B"/>
    <w:rsid w:val="00061041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6E07"/>
    <w:rsid w:val="000A7894"/>
    <w:rsid w:val="000B2FE7"/>
    <w:rsid w:val="000B3F24"/>
    <w:rsid w:val="000B689A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4B05"/>
    <w:rsid w:val="00116592"/>
    <w:rsid w:val="00117576"/>
    <w:rsid w:val="001205D2"/>
    <w:rsid w:val="0012213E"/>
    <w:rsid w:val="00131AD8"/>
    <w:rsid w:val="00132C99"/>
    <w:rsid w:val="0013659F"/>
    <w:rsid w:val="0014136F"/>
    <w:rsid w:val="00144C38"/>
    <w:rsid w:val="0014660B"/>
    <w:rsid w:val="00146D16"/>
    <w:rsid w:val="00163E4E"/>
    <w:rsid w:val="0016400A"/>
    <w:rsid w:val="00165091"/>
    <w:rsid w:val="00165369"/>
    <w:rsid w:val="0018024E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D4D62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3D46"/>
    <w:rsid w:val="00284F71"/>
    <w:rsid w:val="00285F25"/>
    <w:rsid w:val="00297177"/>
    <w:rsid w:val="002A2E29"/>
    <w:rsid w:val="002A581F"/>
    <w:rsid w:val="002A7BCA"/>
    <w:rsid w:val="002B3404"/>
    <w:rsid w:val="002B42AB"/>
    <w:rsid w:val="002C0A69"/>
    <w:rsid w:val="002C52F1"/>
    <w:rsid w:val="002D1469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3F52"/>
    <w:rsid w:val="0038623A"/>
    <w:rsid w:val="00386324"/>
    <w:rsid w:val="00386918"/>
    <w:rsid w:val="00386D19"/>
    <w:rsid w:val="003905BE"/>
    <w:rsid w:val="00392E2C"/>
    <w:rsid w:val="00392E95"/>
    <w:rsid w:val="00393B07"/>
    <w:rsid w:val="003A18C3"/>
    <w:rsid w:val="003A1CE4"/>
    <w:rsid w:val="003A59EB"/>
    <w:rsid w:val="003A7200"/>
    <w:rsid w:val="003B1D2B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316B1"/>
    <w:rsid w:val="0044054A"/>
    <w:rsid w:val="00442B59"/>
    <w:rsid w:val="00444862"/>
    <w:rsid w:val="00457692"/>
    <w:rsid w:val="00461680"/>
    <w:rsid w:val="00463D43"/>
    <w:rsid w:val="00466C1C"/>
    <w:rsid w:val="004711E5"/>
    <w:rsid w:val="004743CD"/>
    <w:rsid w:val="004913A3"/>
    <w:rsid w:val="004936CC"/>
    <w:rsid w:val="00493A86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050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45E29"/>
    <w:rsid w:val="00550A14"/>
    <w:rsid w:val="005510F4"/>
    <w:rsid w:val="0055188E"/>
    <w:rsid w:val="005619A0"/>
    <w:rsid w:val="00567223"/>
    <w:rsid w:val="00570BF0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04AB2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479C2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D427D"/>
    <w:rsid w:val="006E34EB"/>
    <w:rsid w:val="006E4D19"/>
    <w:rsid w:val="006E58B3"/>
    <w:rsid w:val="006F372F"/>
    <w:rsid w:val="006F5C0A"/>
    <w:rsid w:val="006F6D31"/>
    <w:rsid w:val="00701401"/>
    <w:rsid w:val="00707559"/>
    <w:rsid w:val="00710166"/>
    <w:rsid w:val="00710355"/>
    <w:rsid w:val="00712EEF"/>
    <w:rsid w:val="00713956"/>
    <w:rsid w:val="007143B4"/>
    <w:rsid w:val="00714A63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3603"/>
    <w:rsid w:val="007C517A"/>
    <w:rsid w:val="007D31F7"/>
    <w:rsid w:val="007D4985"/>
    <w:rsid w:val="007D726F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228D"/>
    <w:rsid w:val="00834C45"/>
    <w:rsid w:val="00836D7F"/>
    <w:rsid w:val="008419B1"/>
    <w:rsid w:val="00842BBF"/>
    <w:rsid w:val="008442CB"/>
    <w:rsid w:val="0084578D"/>
    <w:rsid w:val="00845C51"/>
    <w:rsid w:val="008525AA"/>
    <w:rsid w:val="00852CD6"/>
    <w:rsid w:val="00864414"/>
    <w:rsid w:val="00874074"/>
    <w:rsid w:val="00877035"/>
    <w:rsid w:val="00881545"/>
    <w:rsid w:val="00881997"/>
    <w:rsid w:val="00884CDF"/>
    <w:rsid w:val="008859E1"/>
    <w:rsid w:val="00897C98"/>
    <w:rsid w:val="008A0963"/>
    <w:rsid w:val="008A4884"/>
    <w:rsid w:val="008A6FC9"/>
    <w:rsid w:val="008A761E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07092"/>
    <w:rsid w:val="00910F57"/>
    <w:rsid w:val="00911675"/>
    <w:rsid w:val="00914D39"/>
    <w:rsid w:val="00915894"/>
    <w:rsid w:val="00916341"/>
    <w:rsid w:val="00922844"/>
    <w:rsid w:val="009275D6"/>
    <w:rsid w:val="009278C8"/>
    <w:rsid w:val="00941B90"/>
    <w:rsid w:val="00955072"/>
    <w:rsid w:val="009608F4"/>
    <w:rsid w:val="009610CE"/>
    <w:rsid w:val="00961F0E"/>
    <w:rsid w:val="00965140"/>
    <w:rsid w:val="00965F87"/>
    <w:rsid w:val="009670BA"/>
    <w:rsid w:val="009670EB"/>
    <w:rsid w:val="00967E8F"/>
    <w:rsid w:val="009717D4"/>
    <w:rsid w:val="0097288A"/>
    <w:rsid w:val="00983EA5"/>
    <w:rsid w:val="00993BF8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9F7CA3"/>
    <w:rsid w:val="00A02EC3"/>
    <w:rsid w:val="00A11807"/>
    <w:rsid w:val="00A12C43"/>
    <w:rsid w:val="00A14662"/>
    <w:rsid w:val="00A35748"/>
    <w:rsid w:val="00A40D23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076EF"/>
    <w:rsid w:val="00B1051E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731C2"/>
    <w:rsid w:val="00B80279"/>
    <w:rsid w:val="00B87A4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4E1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1ADB"/>
    <w:rsid w:val="00C22AC7"/>
    <w:rsid w:val="00C25EB3"/>
    <w:rsid w:val="00C2784F"/>
    <w:rsid w:val="00C31FDE"/>
    <w:rsid w:val="00C416E0"/>
    <w:rsid w:val="00C45FFD"/>
    <w:rsid w:val="00C50488"/>
    <w:rsid w:val="00C615D7"/>
    <w:rsid w:val="00C62B2C"/>
    <w:rsid w:val="00C62C55"/>
    <w:rsid w:val="00C705AC"/>
    <w:rsid w:val="00C717C6"/>
    <w:rsid w:val="00C71A5F"/>
    <w:rsid w:val="00C71DE1"/>
    <w:rsid w:val="00C7318E"/>
    <w:rsid w:val="00C731D6"/>
    <w:rsid w:val="00C73A8B"/>
    <w:rsid w:val="00C73AE5"/>
    <w:rsid w:val="00C74452"/>
    <w:rsid w:val="00C862A2"/>
    <w:rsid w:val="00C87B19"/>
    <w:rsid w:val="00C934B3"/>
    <w:rsid w:val="00C936DA"/>
    <w:rsid w:val="00C93DE3"/>
    <w:rsid w:val="00C95723"/>
    <w:rsid w:val="00CA17D5"/>
    <w:rsid w:val="00CA3B14"/>
    <w:rsid w:val="00CA7FB1"/>
    <w:rsid w:val="00CB3D5D"/>
    <w:rsid w:val="00CC23A2"/>
    <w:rsid w:val="00CC29C1"/>
    <w:rsid w:val="00CC54E0"/>
    <w:rsid w:val="00CD408B"/>
    <w:rsid w:val="00CD69AE"/>
    <w:rsid w:val="00CD7422"/>
    <w:rsid w:val="00CE1DE8"/>
    <w:rsid w:val="00CE6934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2BA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E461D"/>
    <w:rsid w:val="00DF00D3"/>
    <w:rsid w:val="00DF2275"/>
    <w:rsid w:val="00DF6138"/>
    <w:rsid w:val="00DF7781"/>
    <w:rsid w:val="00E10F3B"/>
    <w:rsid w:val="00E11E02"/>
    <w:rsid w:val="00E140D7"/>
    <w:rsid w:val="00E14948"/>
    <w:rsid w:val="00E1498D"/>
    <w:rsid w:val="00E2316B"/>
    <w:rsid w:val="00E26BD7"/>
    <w:rsid w:val="00E30686"/>
    <w:rsid w:val="00E345EC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020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39D2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625"/>
    <w:rsid w:val="00F67EFD"/>
    <w:rsid w:val="00F73C5A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A7497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28FB2-F779-4F43-8B47-AD7ECAC9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23</Pages>
  <Words>11144</Words>
  <Characters>63526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74521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459</cp:revision>
  <cp:lastPrinted>2019-04-21T23:35:00Z</cp:lastPrinted>
  <dcterms:created xsi:type="dcterms:W3CDTF">2014-03-24T02:42:00Z</dcterms:created>
  <dcterms:modified xsi:type="dcterms:W3CDTF">2021-09-20T23:47:00Z</dcterms:modified>
</cp:coreProperties>
</file>