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8A4884">
        <w:trPr>
          <w:gridAfter w:val="7"/>
          <w:wAfter w:w="14367" w:type="dxa"/>
          <w:trHeight w:val="643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1.2.Капитальный ремонт </w:t>
            </w:r>
            <w:proofErr w:type="gramStart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МБДОУ д/с №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с. Яблочное– 1 группа-20 мест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297177" w:rsidRPr="00C2784F" w:rsidTr="004512B4">
        <w:trPr>
          <w:gridAfter w:val="7"/>
          <w:wAfter w:w="14367" w:type="dxa"/>
        </w:trPr>
        <w:tc>
          <w:tcPr>
            <w:tcW w:w="1420" w:type="dxa"/>
          </w:tcPr>
          <w:p w:rsidR="00297177" w:rsidRPr="00C2784F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297177" w:rsidRPr="00C2784F" w:rsidRDefault="002036DC" w:rsidP="00451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036DC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C2784F" w:rsidRDefault="006C09C2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Установка систем видеонаблюдения, кнопок экстренного вызова полиции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условий для организации предоставления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</w:rPr>
              <w:t xml:space="preserve">и ликвидация </w:t>
            </w:r>
            <w:proofErr w:type="spellStart"/>
            <w:r w:rsidR="00CA3B14" w:rsidRPr="00CA3B14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CA3B14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578B6" w:rsidRPr="00C2784F" w:rsidTr="008A4884">
        <w:trPr>
          <w:trHeight w:val="30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578B6" w:rsidRPr="00C2784F" w:rsidTr="00741FF4">
        <w:trPr>
          <w:trHeight w:val="25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2.1. «Развитие негосударственных и вариативных форм дошкольного образования» </w:t>
            </w: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2C52F1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Повышение статуса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A4884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4D620F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(капитальный ремонт, замена оконных блоков, благоустройство территории, в том числе разрабо</w:t>
            </w:r>
            <w:r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в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</w:t>
            </w:r>
            <w:r>
              <w:rPr>
                <w:rFonts w:ascii="Times New Roman" w:hAnsi="Times New Roman"/>
                <w:sz w:val="16"/>
                <w:szCs w:val="16"/>
              </w:rPr>
              <w:t>базы образовательных учреждений. «К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апитальный ремонт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и ликвидация </w:t>
            </w:r>
            <w:proofErr w:type="spellStart"/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4D620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заработной плате в регионе; повысится качество кадрового состава общего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11,12,13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общего образования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10,11,13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«Развитие инклюзивного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4578D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</w:tc>
      </w:tr>
      <w:tr w:rsidR="00CA3B14" w:rsidRPr="00C2784F" w:rsidTr="00215AA3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CA3B1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</w:t>
            </w:r>
          </w:p>
        </w:tc>
      </w:tr>
      <w:tr w:rsidR="00CA3B14" w:rsidRPr="00C2784F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Увеличится удельный вес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 0,83% до 1,19%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CA3B14" w:rsidRPr="00C2784F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5. «Поддержка и распространение лучших образцов педагогической практики»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«Лидер муниципальной системы образования»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скоо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CA3B14" w:rsidRPr="00C2784F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C2784F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29,30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  <w:bookmarkStart w:id="1" w:name="_GoBack"/>
            <w:bookmarkEnd w:id="1"/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</w:tcPr>
          <w:p w:rsidR="00CA3B14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муниципальных, а также участие в областных творческих конкурсах по различных направленностям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27,28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5 "Модернизация </w:t>
            </w:r>
            <w:proofErr w:type="spellStart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организациях дополнительного образования"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Подпрограмме № 4 «Развитие кадрового потенциала»</w:t>
            </w:r>
          </w:p>
        </w:tc>
      </w:tr>
      <w:tr w:rsidR="00CA3B14" w:rsidRPr="00C2784F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CA3B14" w:rsidRPr="00C2784F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CA3B14" w:rsidRPr="00C2784F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CA3B14" w:rsidRPr="00C2784F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CA3B14" w:rsidRPr="00C2784F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CA3B14" w:rsidRPr="00C2784F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      </w:r>
          </w:p>
        </w:tc>
      </w:tr>
      <w:tr w:rsidR="00CA3B14" w:rsidRPr="00C2784F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CA3B14" w:rsidRPr="00C2784F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31,35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учреждений»</w:t>
            </w:r>
          </w:p>
        </w:tc>
      </w:tr>
      <w:tr w:rsidR="00CA3B14" w:rsidRPr="00C2784F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CA3B14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«Развитие системы профессиональной ориентации и предпрофессиональной подготовки выпускников учреждений общего образования»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CA3B14" w:rsidRPr="00C2784F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CA3B14" w:rsidRPr="00C2784F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CA3B14" w:rsidRPr="00C2784F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CA3B14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вания и лучших педагогических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      практик                 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CA3B14" w:rsidRPr="00C2784F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CA3B14" w:rsidRPr="00C2784F" w:rsidTr="008A4884">
        <w:trPr>
          <w:gridAfter w:val="7"/>
          <w:wAfter w:w="14367" w:type="dxa"/>
          <w:trHeight w:val="2467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CA3B14" w:rsidRPr="00C2784F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CA3B1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CA3B14" w:rsidRPr="001C77EF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физической культуре и спорту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C2784F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C2784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1C77EF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38,41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E55" w:rsidRDefault="004E5E55" w:rsidP="009C79D3">
      <w:pPr>
        <w:spacing w:after="0" w:line="240" w:lineRule="auto"/>
      </w:pPr>
      <w:r>
        <w:separator/>
      </w:r>
    </w:p>
  </w:endnote>
  <w:endnote w:type="continuationSeparator" w:id="0">
    <w:p w:rsidR="004E5E55" w:rsidRDefault="004E5E55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FF4" w:rsidRDefault="00741FF4">
    <w:pPr>
      <w:pStyle w:val="a7"/>
      <w:jc w:val="center"/>
    </w:pPr>
  </w:p>
  <w:p w:rsidR="00741FF4" w:rsidRDefault="00741F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E55" w:rsidRDefault="004E5E55" w:rsidP="009C79D3">
      <w:pPr>
        <w:spacing w:after="0" w:line="240" w:lineRule="auto"/>
      </w:pPr>
      <w:r>
        <w:separator/>
      </w:r>
    </w:p>
  </w:footnote>
  <w:footnote w:type="continuationSeparator" w:id="0">
    <w:p w:rsidR="004E5E55" w:rsidRDefault="004E5E55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3508F"/>
    <w:rsid w:val="0004367F"/>
    <w:rsid w:val="00045575"/>
    <w:rsid w:val="000515EA"/>
    <w:rsid w:val="000729FE"/>
    <w:rsid w:val="0007489A"/>
    <w:rsid w:val="000769FE"/>
    <w:rsid w:val="000855B8"/>
    <w:rsid w:val="000911B4"/>
    <w:rsid w:val="000A3F75"/>
    <w:rsid w:val="000B3F24"/>
    <w:rsid w:val="000C30AE"/>
    <w:rsid w:val="000D2E1B"/>
    <w:rsid w:val="000D68B2"/>
    <w:rsid w:val="001014D5"/>
    <w:rsid w:val="00102BD7"/>
    <w:rsid w:val="0010534A"/>
    <w:rsid w:val="00110294"/>
    <w:rsid w:val="00110F66"/>
    <w:rsid w:val="00117576"/>
    <w:rsid w:val="001205D2"/>
    <w:rsid w:val="0012213E"/>
    <w:rsid w:val="00131AD8"/>
    <w:rsid w:val="0013659F"/>
    <w:rsid w:val="0014660B"/>
    <w:rsid w:val="00163E4E"/>
    <w:rsid w:val="00181465"/>
    <w:rsid w:val="001949C8"/>
    <w:rsid w:val="001A3EA3"/>
    <w:rsid w:val="001B4427"/>
    <w:rsid w:val="001C5922"/>
    <w:rsid w:val="001C77EF"/>
    <w:rsid w:val="001D03E1"/>
    <w:rsid w:val="001D3DFC"/>
    <w:rsid w:val="001E0292"/>
    <w:rsid w:val="001F43A9"/>
    <w:rsid w:val="001F7D39"/>
    <w:rsid w:val="002036DC"/>
    <w:rsid w:val="00233866"/>
    <w:rsid w:val="00242B48"/>
    <w:rsid w:val="002525E4"/>
    <w:rsid w:val="00260EC7"/>
    <w:rsid w:val="002636DC"/>
    <w:rsid w:val="00267CC2"/>
    <w:rsid w:val="00271B53"/>
    <w:rsid w:val="00284F71"/>
    <w:rsid w:val="00297177"/>
    <w:rsid w:val="002A2E29"/>
    <w:rsid w:val="002A7BCA"/>
    <w:rsid w:val="002B3404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913A3"/>
    <w:rsid w:val="00497030"/>
    <w:rsid w:val="004C42D0"/>
    <w:rsid w:val="004D620F"/>
    <w:rsid w:val="004D66B0"/>
    <w:rsid w:val="004E20B3"/>
    <w:rsid w:val="004E5731"/>
    <w:rsid w:val="004E5E55"/>
    <w:rsid w:val="004F039A"/>
    <w:rsid w:val="004F0D19"/>
    <w:rsid w:val="005136F0"/>
    <w:rsid w:val="00517819"/>
    <w:rsid w:val="00524662"/>
    <w:rsid w:val="00526D35"/>
    <w:rsid w:val="00530E97"/>
    <w:rsid w:val="0053222C"/>
    <w:rsid w:val="00550A14"/>
    <w:rsid w:val="005510F4"/>
    <w:rsid w:val="0055188E"/>
    <w:rsid w:val="005619A0"/>
    <w:rsid w:val="00567223"/>
    <w:rsid w:val="00572325"/>
    <w:rsid w:val="005764C1"/>
    <w:rsid w:val="00582F1E"/>
    <w:rsid w:val="00584B6B"/>
    <w:rsid w:val="00584E76"/>
    <w:rsid w:val="005857E8"/>
    <w:rsid w:val="0059019F"/>
    <w:rsid w:val="005B749B"/>
    <w:rsid w:val="005C3124"/>
    <w:rsid w:val="005C507C"/>
    <w:rsid w:val="005D2DF0"/>
    <w:rsid w:val="005D385A"/>
    <w:rsid w:val="005E0153"/>
    <w:rsid w:val="00610874"/>
    <w:rsid w:val="00620B72"/>
    <w:rsid w:val="0062457E"/>
    <w:rsid w:val="00631341"/>
    <w:rsid w:val="006344AD"/>
    <w:rsid w:val="0064250E"/>
    <w:rsid w:val="0065782A"/>
    <w:rsid w:val="00662083"/>
    <w:rsid w:val="00663DAB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D296C"/>
    <w:rsid w:val="006E34EB"/>
    <w:rsid w:val="006F372F"/>
    <w:rsid w:val="00710166"/>
    <w:rsid w:val="00713956"/>
    <w:rsid w:val="0072243D"/>
    <w:rsid w:val="007406A4"/>
    <w:rsid w:val="00741FF4"/>
    <w:rsid w:val="00742EA4"/>
    <w:rsid w:val="007502BC"/>
    <w:rsid w:val="007578B6"/>
    <w:rsid w:val="007602BF"/>
    <w:rsid w:val="0076226A"/>
    <w:rsid w:val="0078046B"/>
    <w:rsid w:val="007A3DA5"/>
    <w:rsid w:val="007A4960"/>
    <w:rsid w:val="007B20D5"/>
    <w:rsid w:val="007E6F92"/>
    <w:rsid w:val="007E7A76"/>
    <w:rsid w:val="007F4287"/>
    <w:rsid w:val="007F72EE"/>
    <w:rsid w:val="008001E8"/>
    <w:rsid w:val="00801470"/>
    <w:rsid w:val="00806B05"/>
    <w:rsid w:val="00814E60"/>
    <w:rsid w:val="00816CBC"/>
    <w:rsid w:val="00830873"/>
    <w:rsid w:val="00834C45"/>
    <w:rsid w:val="008419B1"/>
    <w:rsid w:val="00842BBF"/>
    <w:rsid w:val="0084578D"/>
    <w:rsid w:val="00845C51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C1C"/>
    <w:rsid w:val="008E145B"/>
    <w:rsid w:val="008E2731"/>
    <w:rsid w:val="008E4C5E"/>
    <w:rsid w:val="008F7F20"/>
    <w:rsid w:val="0090241C"/>
    <w:rsid w:val="0090669A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A01BE"/>
    <w:rsid w:val="009A3D3E"/>
    <w:rsid w:val="009A60AF"/>
    <w:rsid w:val="009B041B"/>
    <w:rsid w:val="009B78B5"/>
    <w:rsid w:val="009C38A6"/>
    <w:rsid w:val="009C5825"/>
    <w:rsid w:val="009C79D3"/>
    <w:rsid w:val="009F26C8"/>
    <w:rsid w:val="00A02EC3"/>
    <w:rsid w:val="00A12C43"/>
    <w:rsid w:val="00A14662"/>
    <w:rsid w:val="00A35748"/>
    <w:rsid w:val="00A613BA"/>
    <w:rsid w:val="00A66D2A"/>
    <w:rsid w:val="00A80979"/>
    <w:rsid w:val="00A976D2"/>
    <w:rsid w:val="00AB081D"/>
    <w:rsid w:val="00AB1097"/>
    <w:rsid w:val="00AB31FC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419F1"/>
    <w:rsid w:val="00B52539"/>
    <w:rsid w:val="00B54F77"/>
    <w:rsid w:val="00B55B67"/>
    <w:rsid w:val="00B80279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D6"/>
    <w:rsid w:val="00C73AE5"/>
    <w:rsid w:val="00C74452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370C"/>
    <w:rsid w:val="00D00759"/>
    <w:rsid w:val="00D1412A"/>
    <w:rsid w:val="00D1649F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B05BB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526DA"/>
    <w:rsid w:val="00E653F2"/>
    <w:rsid w:val="00E722BD"/>
    <w:rsid w:val="00E773F6"/>
    <w:rsid w:val="00E819BD"/>
    <w:rsid w:val="00E84B81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8B5-D75A-4546-AA6B-FA8F7A2F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16</Pages>
  <Words>7891</Words>
  <Characters>44982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235</cp:revision>
  <cp:lastPrinted>2016-04-11T02:04:00Z</cp:lastPrinted>
  <dcterms:created xsi:type="dcterms:W3CDTF">2014-03-24T02:42:00Z</dcterms:created>
  <dcterms:modified xsi:type="dcterms:W3CDTF">2016-12-15T04:42:00Z</dcterms:modified>
</cp:coreProperties>
</file>