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C2784F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C2784F">
        <w:rPr>
          <w:rFonts w:ascii="Times New Roman" w:hAnsi="Times New Roman"/>
          <w:sz w:val="20"/>
          <w:szCs w:val="20"/>
        </w:rPr>
        <w:t>П</w:t>
      </w:r>
      <w:r w:rsidR="002525E4">
        <w:rPr>
          <w:rFonts w:ascii="Times New Roman" w:hAnsi="Times New Roman"/>
          <w:sz w:val="20"/>
          <w:szCs w:val="20"/>
        </w:rPr>
        <w:t>риложение</w:t>
      </w:r>
      <w:r w:rsidRPr="00C2784F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AD1DCD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C2784F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C2784F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C2784F">
        <w:rPr>
          <w:rFonts w:ascii="Times New Roman" w:hAnsi="Times New Roman"/>
          <w:b/>
          <w:sz w:val="24"/>
          <w:szCs w:val="24"/>
        </w:rPr>
        <w:t xml:space="preserve"> </w:t>
      </w:r>
      <w:r w:rsidRPr="00C2784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C2784F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C2784F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C2784F" w:rsidRDefault="005F54AA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не реализации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765B5" w:rsidRPr="00C2784F" w:rsidTr="008A4884">
        <w:trPr>
          <w:gridAfter w:val="7"/>
          <w:wAfter w:w="14367" w:type="dxa"/>
          <w:trHeight w:val="643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1.Обеспечение государственных гарантий доступности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1.1.Строительство,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r w:rsidR="005F54AA" w:rsidRPr="00C2784F">
              <w:rPr>
                <w:rFonts w:ascii="Times New Roman" w:hAnsi="Times New Roman"/>
                <w:sz w:val="16"/>
                <w:szCs w:val="16"/>
              </w:rPr>
              <w:t>с. Правда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C2784F" w:rsidRDefault="003765B5" w:rsidP="008D2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D2B2E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>
              <w:rPr>
                <w:rFonts w:ascii="Times New Roman" w:hAnsi="Times New Roman"/>
                <w:sz w:val="16"/>
                <w:szCs w:val="16"/>
              </w:rPr>
              <w:t>3,</w:t>
            </w:r>
            <w:r w:rsidR="008D2B2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5E427D" w:rsidRDefault="0090241C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>
              <w:rPr>
                <w:rFonts w:ascii="Times New Roman" w:hAnsi="Times New Roman"/>
                <w:sz w:val="16"/>
                <w:szCs w:val="16"/>
              </w:rPr>
              <w:t>3,</w:t>
            </w:r>
            <w:r w:rsidR="005E427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1.2.Капитальный ремонт </w:t>
            </w:r>
            <w:r w:rsidR="005F54AA" w:rsidRPr="00C2784F">
              <w:rPr>
                <w:rFonts w:ascii="Times New Roman" w:hAnsi="Times New Roman"/>
                <w:b/>
                <w:sz w:val="16"/>
                <w:szCs w:val="16"/>
              </w:rPr>
              <w:t>зданий,</w:t>
            </w: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r w:rsidR="005F54AA" w:rsidRPr="00C2784F">
              <w:rPr>
                <w:rFonts w:ascii="Times New Roman" w:hAnsi="Times New Roman"/>
                <w:sz w:val="16"/>
                <w:szCs w:val="16"/>
              </w:rPr>
              <w:t>зданий,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МБДОУ д/с №</w:t>
            </w:r>
            <w:r w:rsidR="005F54AA" w:rsidRPr="00C2784F">
              <w:rPr>
                <w:rFonts w:ascii="Times New Roman" w:hAnsi="Times New Roman"/>
                <w:sz w:val="16"/>
                <w:szCs w:val="16"/>
              </w:rPr>
              <w:t>4 «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с. Яблочное– 1 группа-20 мест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Чехов и с. Яблочное.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расположенных на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территории сел Холмского городского округа позволит обеспечить доступность дошкольного образования: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5E427D" w:rsidRDefault="003765B5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B26987">
              <w:rPr>
                <w:rFonts w:ascii="Times New Roman" w:hAnsi="Times New Roman"/>
                <w:sz w:val="16"/>
                <w:szCs w:val="16"/>
                <w:lang w:val="en-US"/>
              </w:rPr>
              <w:t>N 2,4</w:t>
            </w:r>
          </w:p>
        </w:tc>
      </w:tr>
      <w:tr w:rsidR="00297177" w:rsidRPr="00C2784F" w:rsidTr="004512B4">
        <w:trPr>
          <w:gridAfter w:val="7"/>
          <w:wAfter w:w="14367" w:type="dxa"/>
        </w:trPr>
        <w:tc>
          <w:tcPr>
            <w:tcW w:w="1420" w:type="dxa"/>
          </w:tcPr>
          <w:p w:rsidR="00297177" w:rsidRPr="00C2784F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297177" w:rsidRPr="00C2784F" w:rsidRDefault="002036DC" w:rsidP="00451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036DC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C2784F" w:rsidRDefault="006C09C2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B2698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1.3.3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Увеличение удельного расхода тепловой и электрической энергии дошкольных образовательных учреждений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>
              <w:rPr>
                <w:rFonts w:ascii="Times New Roman" w:hAnsi="Times New Roman"/>
                <w:sz w:val="16"/>
                <w:szCs w:val="16"/>
              </w:rPr>
              <w:t>8,9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Мероприятия по антитеррористической безопасности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Установка систем видеонаблюдения, кнопок экстренного вызова полиции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Д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организаций,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5F54AA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условий для организации предоставления </w:t>
            </w:r>
            <w:r w:rsidRPr="005F54AA">
              <w:rPr>
                <w:rFonts w:ascii="Times New Roman" w:hAnsi="Times New Roman"/>
                <w:sz w:val="16"/>
                <w:szCs w:val="16"/>
              </w:rPr>
              <w:lastRenderedPageBreak/>
              <w:t>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5F54AA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 w:rsidRPr="005F54AA">
              <w:rPr>
                <w:rFonts w:ascii="Times New Roman" w:hAnsi="Times New Roman"/>
                <w:sz w:val="16"/>
                <w:szCs w:val="16"/>
              </w:rPr>
              <w:t>4</w:t>
            </w:r>
            <w:r w:rsidRPr="005F54AA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5F54AA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5F54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3B14" w:rsidRPr="00CA3B14">
              <w:rPr>
                <w:rFonts w:ascii="Times New Roman" w:hAnsi="Times New Roman"/>
                <w:sz w:val="16"/>
                <w:szCs w:val="16"/>
              </w:rPr>
              <w:t>и ликвидация травмоопасных факторов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5F54AA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5F54AA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5F54AA">
              <w:rPr>
                <w:rFonts w:ascii="Times New Roman" w:hAnsi="Times New Roman"/>
                <w:sz w:val="16"/>
                <w:szCs w:val="16"/>
              </w:rPr>
              <w:t>4</w:t>
            </w:r>
            <w:r w:rsidRPr="005F54AA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5F54AA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5F54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7578B6" w:rsidRPr="00C2784F" w:rsidTr="008A4884">
        <w:trPr>
          <w:trHeight w:val="30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7578B6" w:rsidRPr="00C2784F" w:rsidTr="00741FF4">
        <w:trPr>
          <w:trHeight w:val="25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2.1. «Развитие негосударственных и вариативных форм дошкольного образования» </w:t>
            </w: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  <w:trHeight w:val="426"/>
        </w:trPr>
        <w:tc>
          <w:tcPr>
            <w:tcW w:w="142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3. Обеспечение высокого качества услуг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2C52F1" w:rsidP="00FE7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C87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3.2.Обновление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</w:t>
            </w:r>
            <w:r w:rsidR="005F54AA">
              <w:rPr>
                <w:rFonts w:ascii="Times New Roman" w:hAnsi="Times New Roman"/>
                <w:bCs/>
                <w:sz w:val="16"/>
                <w:szCs w:val="16"/>
              </w:rPr>
              <w:t>аботной</w:t>
            </w:r>
            <w:bookmarkStart w:id="1" w:name="_GoBack"/>
            <w:bookmarkEnd w:id="1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платы педагогов: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C87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  <w:r w:rsidR="00C87B19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Методическая поддержка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Методическая поддержка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Повышение статуса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A4884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«Развитие инфраструктуры доступности качественного общего образования»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5" w:type="dxa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583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58388E">
              <w:rPr>
                <w:rFonts w:ascii="Times New Roman" w:hAnsi="Times New Roman"/>
                <w:sz w:val="16"/>
                <w:szCs w:val="16"/>
              </w:rPr>
              <w:t>1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15,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58388E">
              <w:rPr>
                <w:rFonts w:ascii="Times New Roman" w:hAnsi="Times New Roman"/>
                <w:sz w:val="16"/>
                <w:szCs w:val="16"/>
              </w:rPr>
              <w:t>6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A53D80">
              <w:rPr>
                <w:rFonts w:ascii="Times New Roman" w:hAnsi="Times New Roman"/>
                <w:sz w:val="16"/>
                <w:szCs w:val="16"/>
              </w:rPr>
              <w:t>9</w:t>
            </w:r>
            <w:r w:rsidR="00736C5D">
              <w:rPr>
                <w:rFonts w:ascii="Times New Roman" w:hAnsi="Times New Roman"/>
                <w:sz w:val="16"/>
                <w:szCs w:val="16"/>
              </w:rPr>
              <w:t>,21,22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A53D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11,15,16,</w:t>
            </w:r>
            <w:r w:rsidR="00AB3904">
              <w:rPr>
                <w:rFonts w:ascii="Times New Roman" w:hAnsi="Times New Roman"/>
                <w:sz w:val="16"/>
                <w:szCs w:val="16"/>
              </w:rPr>
              <w:t>18,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C2784F" w:rsidRDefault="00496AD4" w:rsidP="00496A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6AD4">
              <w:rPr>
                <w:rFonts w:ascii="Times New Roman" w:hAnsi="Times New Roman"/>
                <w:sz w:val="16"/>
                <w:szCs w:val="16"/>
              </w:rPr>
              <w:t xml:space="preserve">"Строительство мастерских МБОУ СОШ № 9 </w:t>
            </w:r>
            <w:r w:rsidR="005F54AA" w:rsidRPr="00496AD4">
              <w:rPr>
                <w:rFonts w:ascii="Times New Roman" w:hAnsi="Times New Roman"/>
                <w:sz w:val="16"/>
                <w:szCs w:val="16"/>
              </w:rPr>
              <w:t>г. Холмска</w:t>
            </w:r>
            <w:r w:rsidRPr="00496AD4">
              <w:rPr>
                <w:rFonts w:ascii="Times New Roman" w:hAnsi="Times New Roman"/>
                <w:sz w:val="16"/>
                <w:szCs w:val="16"/>
              </w:rPr>
              <w:t xml:space="preserve">", расположенных по адресу: Сахалинская область, </w:t>
            </w:r>
            <w:r w:rsidR="005F54AA" w:rsidRPr="00496AD4">
              <w:rPr>
                <w:rFonts w:ascii="Times New Roman" w:hAnsi="Times New Roman"/>
                <w:sz w:val="16"/>
                <w:szCs w:val="16"/>
              </w:rPr>
              <w:t>г. Холмск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A53D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11,15,16,19</w:t>
            </w:r>
            <w:r w:rsidR="009964F9">
              <w:rPr>
                <w:rFonts w:ascii="Times New Roman" w:hAnsi="Times New Roman"/>
                <w:sz w:val="16"/>
                <w:szCs w:val="16"/>
              </w:rPr>
              <w:t>,21</w:t>
            </w:r>
            <w:r w:rsidR="00736C5D">
              <w:rPr>
                <w:rFonts w:ascii="Times New Roman" w:hAnsi="Times New Roman"/>
                <w:sz w:val="16"/>
                <w:szCs w:val="16"/>
              </w:rPr>
              <w:t>,22</w:t>
            </w:r>
          </w:p>
        </w:tc>
      </w:tr>
      <w:tr w:rsidR="004D620F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4D620F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(капитальный ремонт, замена оконных блоков, благоустройство территории, в том числе разрабо</w:t>
            </w:r>
            <w:r>
              <w:rPr>
                <w:rFonts w:ascii="Times New Roman" w:hAnsi="Times New Roman"/>
                <w:sz w:val="16"/>
                <w:szCs w:val="16"/>
              </w:rPr>
              <w:t>тка проектно-сметной документации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в общеобразовательных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A53D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15,16,17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</w:t>
            </w:r>
            <w:r>
              <w:rPr>
                <w:rFonts w:ascii="Times New Roman" w:hAnsi="Times New Roman"/>
                <w:sz w:val="16"/>
                <w:szCs w:val="16"/>
              </w:rPr>
              <w:t>базы образовательных учреждений. «К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апитальный ремонт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МБОУ СОШ </w:t>
            </w:r>
            <w:r w:rsidR="005F54AA">
              <w:rPr>
                <w:rFonts w:ascii="Times New Roman" w:hAnsi="Times New Roman"/>
                <w:sz w:val="16"/>
                <w:szCs w:val="16"/>
              </w:rPr>
              <w:t>с. Костромское</w:t>
            </w:r>
            <w:r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A53D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15,16,17</w:t>
            </w:r>
          </w:p>
        </w:tc>
      </w:tr>
      <w:tr w:rsidR="008E10ED" w:rsidRPr="00C2784F" w:rsidTr="00412F15">
        <w:trPr>
          <w:gridAfter w:val="7"/>
          <w:wAfter w:w="14367" w:type="dxa"/>
        </w:trPr>
        <w:tc>
          <w:tcPr>
            <w:tcW w:w="1420" w:type="dxa"/>
          </w:tcPr>
          <w:p w:rsidR="008E10ED" w:rsidRPr="005F54AA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5F54AA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5F54AA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E10ED" w:rsidRPr="005F54AA" w:rsidRDefault="008E10ED" w:rsidP="00412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5F54AA" w:rsidRDefault="008E10ED" w:rsidP="00412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5F54AA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5F54AA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5F54AA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C2784F" w:rsidRDefault="008E10ED" w:rsidP="00A53D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54AA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5F54AA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5F54AA">
              <w:rPr>
                <w:rFonts w:ascii="Times New Roman" w:hAnsi="Times New Roman"/>
                <w:sz w:val="16"/>
                <w:szCs w:val="16"/>
              </w:rPr>
              <w:t>15,16,17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A53D8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</w:t>
            </w:r>
            <w:r w:rsidR="00CA3B14"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>и ликвидация травмоопасных факторов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A53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10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A53D8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4D620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12EEF">
              <w:rPr>
                <w:rFonts w:ascii="Times New Roman" w:hAnsi="Times New Roman"/>
                <w:sz w:val="16"/>
                <w:szCs w:val="16"/>
              </w:rPr>
              <w:t>23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,2</w:t>
            </w:r>
            <w:r w:rsidR="00712EEF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«Повышение качества общего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730D8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заработной плате в регионе; повысится качество кадрового состава общего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2015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2016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2017 год – 100%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2018 год – 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2019 год – 100%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12E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712EEF">
              <w:rPr>
                <w:rFonts w:ascii="Times New Roman" w:hAnsi="Times New Roman"/>
                <w:sz w:val="16"/>
                <w:szCs w:val="16"/>
              </w:rPr>
              <w:t>2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712EEF"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712E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8199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снащение учебным, учебно-наглядным и учебно-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лабораторным оборудованием 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образовательных результатов, невыполнение полномочий по реализации программ общего образования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C2784F" w:rsidRDefault="00741FF4" w:rsidP="00712E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="00712EEF">
              <w:rPr>
                <w:rFonts w:ascii="Times New Roman" w:hAnsi="Times New Roman"/>
                <w:sz w:val="16"/>
                <w:szCs w:val="16"/>
              </w:rPr>
              <w:t>11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712EEF">
              <w:rPr>
                <w:rFonts w:ascii="Times New Roman" w:hAnsi="Times New Roman"/>
                <w:sz w:val="16"/>
                <w:szCs w:val="16"/>
              </w:rPr>
              <w:t>2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712E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12E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12EEF">
              <w:rPr>
                <w:rFonts w:ascii="Times New Roman" w:hAnsi="Times New Roman"/>
                <w:sz w:val="16"/>
                <w:szCs w:val="16"/>
              </w:rPr>
              <w:t>10,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712EEF">
              <w:rPr>
                <w:rFonts w:ascii="Times New Roman" w:hAnsi="Times New Roman"/>
                <w:sz w:val="16"/>
                <w:szCs w:val="16"/>
              </w:rPr>
              <w:t>2</w:t>
            </w:r>
            <w:r w:rsidR="00CF1984">
              <w:rPr>
                <w:rFonts w:ascii="Times New Roman" w:hAnsi="Times New Roman"/>
                <w:sz w:val="16"/>
                <w:szCs w:val="16"/>
              </w:rPr>
              <w:t>,20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«Развитие инклюзивного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4578D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4578D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8D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E56DA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56DA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B109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56DA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E56D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56DA1">
              <w:rPr>
                <w:rFonts w:ascii="Times New Roman" w:hAnsi="Times New Roman"/>
                <w:sz w:val="16"/>
                <w:szCs w:val="16"/>
              </w:rPr>
              <w:t>23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,2</w:t>
            </w:r>
            <w:r w:rsidR="00E56DA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A3B14" w:rsidRPr="00C2784F" w:rsidTr="00215AA3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травмоопасных </w:t>
            </w:r>
            <w:r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факторов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EA2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A2C6E">
              <w:rPr>
                <w:rFonts w:ascii="Times New Roman" w:hAnsi="Times New Roman"/>
                <w:sz w:val="16"/>
                <w:szCs w:val="16"/>
              </w:rPr>
              <w:t>10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EA2C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A3B14" w:rsidRPr="00C2784F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«Выявление и поддержка одаренных детей»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5361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536143">
              <w:rPr>
                <w:rFonts w:ascii="Times New Roman" w:hAnsi="Times New Roman"/>
                <w:sz w:val="16"/>
                <w:szCs w:val="16"/>
              </w:rPr>
              <w:t>2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53614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A3B14" w:rsidRPr="00C2784F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5. «Поддержка и распространение лучших образцов педагогической практики»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</w:t>
            </w:r>
            <w:r>
              <w:rPr>
                <w:rFonts w:ascii="Times New Roman" w:hAnsi="Times New Roman"/>
                <w:sz w:val="16"/>
                <w:szCs w:val="16"/>
              </w:rPr>
              <w:t>азовательные программы и проекты.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«Лидер муниципальной системы образования»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«Лучшее учреждение года»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5361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536143">
              <w:rPr>
                <w:rFonts w:ascii="Times New Roman" w:hAnsi="Times New Roman"/>
                <w:sz w:val="16"/>
                <w:szCs w:val="16"/>
              </w:rPr>
              <w:t>2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53614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«Внедрение дистанционных образовательных технологий и электронного обучения»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266D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1«Развитие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скоо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р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266D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CA3B14" w:rsidRPr="00C2784F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C2784F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073B8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2.2.Укрепление материально-технической базы организаций дополнительного образования детей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073B8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073B8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Увеличение удельного расхода электрической и тепловой энергии на снабжение учреждений дополнительного образования детей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73B82">
              <w:rPr>
                <w:rFonts w:ascii="Times New Roman" w:hAnsi="Times New Roman"/>
                <w:sz w:val="16"/>
                <w:szCs w:val="16"/>
              </w:rPr>
              <w:t>33,34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73B8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>
              <w:rPr>
                <w:rFonts w:ascii="Times New Roman" w:hAnsi="Times New Roman"/>
                <w:sz w:val="16"/>
                <w:szCs w:val="16"/>
              </w:rPr>
              <w:t xml:space="preserve"> и ликвидация травмоопасных факторов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073B82">
              <w:rPr>
                <w:rFonts w:ascii="Times New Roman" w:hAnsi="Times New Roman"/>
                <w:sz w:val="16"/>
                <w:szCs w:val="16"/>
              </w:rPr>
              <w:t>5,27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частие педагогов в курсах повышения квалификации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5" w:type="dxa"/>
          </w:tcPr>
          <w:p w:rsidR="00CA3B14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30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,3</w:t>
            </w:r>
            <w:r w:rsidR="00D2181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частие педагогов в областных семинарах, тренингах и конференциях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30,37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30,37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 "Выявление и поддержка талантливых детей в области спорта, туризма, культуры и искусства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муниципальных, а также участие в областных творческих конкурсах по различных направленностям дополнительного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D21819">
              <w:rPr>
                <w:rFonts w:ascii="Times New Roman" w:hAnsi="Times New Roman"/>
                <w:sz w:val="16"/>
                <w:szCs w:val="16"/>
              </w:rPr>
              <w:t>8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,2</w:t>
            </w:r>
            <w:r w:rsidR="00D2181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28,29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28,29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31,32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Мероприятие 5 "Модернизация учебно - воспитательного процесса в организациях дополнительного образования"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5.1.Проведение мероприятий по формированию положительного имиджа педагога в обществе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274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274330">
              <w:rPr>
                <w:rFonts w:ascii="Times New Roman" w:hAnsi="Times New Roman"/>
                <w:sz w:val="16"/>
                <w:szCs w:val="16"/>
              </w:rPr>
              <w:t>5,27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CA3B14" w:rsidRPr="00C2784F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</w:tr>
      <w:tr w:rsidR="00CA3B14" w:rsidRPr="00C2784F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CA3B14" w:rsidRPr="00C2784F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CA3B14" w:rsidRPr="00C2784F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>
              <w:rPr>
                <w:rFonts w:ascii="Times New Roman" w:hAnsi="Times New Roman"/>
                <w:sz w:val="16"/>
                <w:szCs w:val="16"/>
              </w:rPr>
              <w:t>35,36</w:t>
            </w:r>
          </w:p>
        </w:tc>
      </w:tr>
      <w:tr w:rsidR="00CA3B14" w:rsidRPr="00C2784F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CA3B14" w:rsidRPr="00C2784F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</w:t>
            </w:r>
          </w:p>
        </w:tc>
      </w:tr>
      <w:tr w:rsidR="00CA3B14" w:rsidRPr="00C2784F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2.1.Развитие кадровых ресурсов муниципальной системы образования</w:t>
            </w:r>
          </w:p>
        </w:tc>
      </w:tr>
      <w:tr w:rsidR="00CA3B14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За период реализации программы направление на заочное обучение 20 педагогических и руководящих работников в условиях целевой подготовки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F86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F8680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A3B14" w:rsidRPr="00C2784F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8680F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8680F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F86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8680F">
              <w:rPr>
                <w:rFonts w:ascii="Times New Roman" w:hAnsi="Times New Roman"/>
                <w:sz w:val="16"/>
                <w:szCs w:val="16"/>
              </w:rPr>
              <w:t>35,39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3. «Освоение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учреждений»</w:t>
            </w:r>
          </w:p>
        </w:tc>
      </w:tr>
      <w:tr w:rsidR="00CA3B14" w:rsidRPr="00C2784F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CA3B14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3.1.1.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936C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CA3B14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936C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«Развитие системы профессиональной ориентации и предпрофессиональной подготовки выпускников учреждений общего образования»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CA3B14" w:rsidRPr="00C2784F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936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CA3B14" w:rsidRPr="00C2784F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936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CA3B14" w:rsidRPr="00C2784F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5. «Повышение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социального </w:t>
            </w: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>престижа и привлекательности педагогической профессии»</w:t>
            </w:r>
          </w:p>
        </w:tc>
      </w:tr>
      <w:tr w:rsidR="00CA3B14" w:rsidRPr="00C2784F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CA3B14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4936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6,38</w:t>
            </w:r>
          </w:p>
        </w:tc>
      </w:tr>
      <w:tr w:rsidR="00CA3B14" w:rsidRPr="00C2784F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4936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6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A3B14" w:rsidRPr="00C2784F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4936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6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A3B14" w:rsidRPr="00C2784F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4936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6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вания и лучших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4936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6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4936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6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,3</w:t>
            </w:r>
            <w:r w:rsidR="004936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публикации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936C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2784F">
              <w:rPr>
                <w:rFonts w:ascii="Times New Roman" w:hAnsi="Times New Roman"/>
                <w:b/>
              </w:rPr>
              <w:t>Подпрограмма № 5. «Летний отдых, оздоровление и занятость детей и м</w:t>
            </w:r>
            <w:r>
              <w:rPr>
                <w:rFonts w:ascii="Times New Roman" w:hAnsi="Times New Roman"/>
                <w:b/>
              </w:rPr>
              <w:t>олодёжи</w:t>
            </w:r>
            <w:r w:rsidRPr="00C2784F">
              <w:rPr>
                <w:rFonts w:ascii="Times New Roman" w:hAnsi="Times New Roman"/>
                <w:b/>
              </w:rPr>
              <w:t>»</w:t>
            </w:r>
          </w:p>
        </w:tc>
      </w:tr>
      <w:tr w:rsidR="00CA3B14" w:rsidRPr="00C2784F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 «Организация лагерей дневного пребывания, профильных и трудовых лагерей с питанием»</w:t>
            </w:r>
          </w:p>
        </w:tc>
      </w:tr>
      <w:tr w:rsidR="00CA3B14" w:rsidRPr="00C2784F" w:rsidTr="008A4884">
        <w:trPr>
          <w:gridAfter w:val="7"/>
          <w:wAfter w:w="14367" w:type="dxa"/>
          <w:trHeight w:val="2467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41,43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,4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A3B14" w:rsidRPr="00C2784F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41,43</w:t>
            </w:r>
            <w:r w:rsidR="000A7894" w:rsidRPr="00C2784F">
              <w:rPr>
                <w:rFonts w:ascii="Times New Roman" w:hAnsi="Times New Roman"/>
                <w:sz w:val="16"/>
                <w:szCs w:val="16"/>
              </w:rPr>
              <w:t>,4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41,43</w:t>
            </w:r>
            <w:r w:rsidR="000A7894" w:rsidRPr="00C2784F">
              <w:rPr>
                <w:rFonts w:ascii="Times New Roman" w:hAnsi="Times New Roman"/>
                <w:sz w:val="16"/>
                <w:szCs w:val="16"/>
              </w:rPr>
              <w:t>,4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Управления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Обеспечение условий для организации различных форм отдыха, оздоровления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41,43</w:t>
            </w:r>
            <w:r w:rsidR="000A7894" w:rsidRPr="00C2784F">
              <w:rPr>
                <w:rFonts w:ascii="Times New Roman" w:hAnsi="Times New Roman"/>
                <w:sz w:val="16"/>
                <w:szCs w:val="16"/>
              </w:rPr>
              <w:t>,4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 «Организация временной занятости нес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овершеннолетних от 14 до 18 лет»</w:t>
            </w:r>
          </w:p>
        </w:tc>
      </w:tr>
      <w:tr w:rsidR="00CA3B14" w:rsidRPr="001C77E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1C77EF" w:rsidRDefault="00CA3B14" w:rsidP="000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42,45</w:t>
            </w:r>
          </w:p>
        </w:tc>
      </w:tr>
    </w:tbl>
    <w:p w:rsidR="003765B5" w:rsidRPr="00A976D2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EA6" w:rsidRDefault="00763EA6" w:rsidP="009C79D3">
      <w:pPr>
        <w:spacing w:after="0" w:line="240" w:lineRule="auto"/>
      </w:pPr>
      <w:r>
        <w:separator/>
      </w:r>
    </w:p>
  </w:endnote>
  <w:endnote w:type="continuationSeparator" w:id="0">
    <w:p w:rsidR="00763EA6" w:rsidRDefault="00763EA6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FF4" w:rsidRDefault="00741FF4">
    <w:pPr>
      <w:pStyle w:val="a7"/>
      <w:jc w:val="center"/>
    </w:pPr>
  </w:p>
  <w:p w:rsidR="00741FF4" w:rsidRDefault="00741F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EA6" w:rsidRDefault="00763EA6" w:rsidP="009C79D3">
      <w:pPr>
        <w:spacing w:after="0" w:line="240" w:lineRule="auto"/>
      </w:pPr>
      <w:r>
        <w:separator/>
      </w:r>
    </w:p>
  </w:footnote>
  <w:footnote w:type="continuationSeparator" w:id="0">
    <w:p w:rsidR="00763EA6" w:rsidRDefault="00763EA6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11832"/>
    <w:rsid w:val="00013403"/>
    <w:rsid w:val="00021E62"/>
    <w:rsid w:val="0003508F"/>
    <w:rsid w:val="0004367F"/>
    <w:rsid w:val="00045575"/>
    <w:rsid w:val="000515EA"/>
    <w:rsid w:val="000729FE"/>
    <w:rsid w:val="00073B82"/>
    <w:rsid w:val="0007489A"/>
    <w:rsid w:val="000769FE"/>
    <w:rsid w:val="000855B8"/>
    <w:rsid w:val="000911B4"/>
    <w:rsid w:val="000A3F75"/>
    <w:rsid w:val="000A7894"/>
    <w:rsid w:val="000B3F24"/>
    <w:rsid w:val="000C30AE"/>
    <w:rsid w:val="000C525A"/>
    <w:rsid w:val="000D2E1B"/>
    <w:rsid w:val="000D68B2"/>
    <w:rsid w:val="001014D5"/>
    <w:rsid w:val="00102BD7"/>
    <w:rsid w:val="0010534A"/>
    <w:rsid w:val="00110294"/>
    <w:rsid w:val="00110F66"/>
    <w:rsid w:val="00117576"/>
    <w:rsid w:val="001205D2"/>
    <w:rsid w:val="0012213E"/>
    <w:rsid w:val="00131AD8"/>
    <w:rsid w:val="0013659F"/>
    <w:rsid w:val="0014660B"/>
    <w:rsid w:val="00163E4E"/>
    <w:rsid w:val="00181465"/>
    <w:rsid w:val="001949C8"/>
    <w:rsid w:val="001A3EA3"/>
    <w:rsid w:val="001B4427"/>
    <w:rsid w:val="001C5922"/>
    <w:rsid w:val="001C77EF"/>
    <w:rsid w:val="001D03E1"/>
    <w:rsid w:val="001D3DFC"/>
    <w:rsid w:val="001E0292"/>
    <w:rsid w:val="001E1E98"/>
    <w:rsid w:val="001F43A9"/>
    <w:rsid w:val="001F7D39"/>
    <w:rsid w:val="002036DC"/>
    <w:rsid w:val="00233866"/>
    <w:rsid w:val="00242B48"/>
    <w:rsid w:val="002525E4"/>
    <w:rsid w:val="00260EC7"/>
    <w:rsid w:val="002636DC"/>
    <w:rsid w:val="00267CC2"/>
    <w:rsid w:val="00271B53"/>
    <w:rsid w:val="00274330"/>
    <w:rsid w:val="00284F71"/>
    <w:rsid w:val="00297177"/>
    <w:rsid w:val="002A2E29"/>
    <w:rsid w:val="002A7BCA"/>
    <w:rsid w:val="002B3404"/>
    <w:rsid w:val="002C52F1"/>
    <w:rsid w:val="002F4CB1"/>
    <w:rsid w:val="003027B3"/>
    <w:rsid w:val="003046BF"/>
    <w:rsid w:val="00311360"/>
    <w:rsid w:val="0031151E"/>
    <w:rsid w:val="00311D07"/>
    <w:rsid w:val="00317D79"/>
    <w:rsid w:val="00321E1C"/>
    <w:rsid w:val="00323D96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905BE"/>
    <w:rsid w:val="00392E2C"/>
    <w:rsid w:val="00392E95"/>
    <w:rsid w:val="00393B07"/>
    <w:rsid w:val="003A1CE4"/>
    <w:rsid w:val="003A59EB"/>
    <w:rsid w:val="003A7200"/>
    <w:rsid w:val="003C3CD7"/>
    <w:rsid w:val="003C50D7"/>
    <w:rsid w:val="003C5C52"/>
    <w:rsid w:val="003C6825"/>
    <w:rsid w:val="003F6C8D"/>
    <w:rsid w:val="003F74F2"/>
    <w:rsid w:val="00411834"/>
    <w:rsid w:val="00411892"/>
    <w:rsid w:val="004131C2"/>
    <w:rsid w:val="0044054A"/>
    <w:rsid w:val="00442B59"/>
    <w:rsid w:val="00444862"/>
    <w:rsid w:val="00457692"/>
    <w:rsid w:val="00461680"/>
    <w:rsid w:val="00463D43"/>
    <w:rsid w:val="00466C1C"/>
    <w:rsid w:val="004913A3"/>
    <w:rsid w:val="004936CC"/>
    <w:rsid w:val="00496AD4"/>
    <w:rsid w:val="00497030"/>
    <w:rsid w:val="004C42D0"/>
    <w:rsid w:val="004D620F"/>
    <w:rsid w:val="004D66B0"/>
    <w:rsid w:val="004E20B3"/>
    <w:rsid w:val="004E5731"/>
    <w:rsid w:val="004E5E55"/>
    <w:rsid w:val="004F039A"/>
    <w:rsid w:val="004F0D19"/>
    <w:rsid w:val="005136F0"/>
    <w:rsid w:val="00517819"/>
    <w:rsid w:val="00524662"/>
    <w:rsid w:val="00526D35"/>
    <w:rsid w:val="00530E97"/>
    <w:rsid w:val="0053222C"/>
    <w:rsid w:val="00536143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9019F"/>
    <w:rsid w:val="005B749B"/>
    <w:rsid w:val="005C3124"/>
    <w:rsid w:val="005C507C"/>
    <w:rsid w:val="005D2DF0"/>
    <w:rsid w:val="005D385A"/>
    <w:rsid w:val="005E0153"/>
    <w:rsid w:val="005E427D"/>
    <w:rsid w:val="005F54AA"/>
    <w:rsid w:val="00610874"/>
    <w:rsid w:val="00620B72"/>
    <w:rsid w:val="0062457E"/>
    <w:rsid w:val="006266D6"/>
    <w:rsid w:val="00631341"/>
    <w:rsid w:val="006344AD"/>
    <w:rsid w:val="0064250E"/>
    <w:rsid w:val="0065782A"/>
    <w:rsid w:val="00662083"/>
    <w:rsid w:val="00663DAB"/>
    <w:rsid w:val="006764CC"/>
    <w:rsid w:val="006827EC"/>
    <w:rsid w:val="0068388C"/>
    <w:rsid w:val="00685B7F"/>
    <w:rsid w:val="00691902"/>
    <w:rsid w:val="00691C8E"/>
    <w:rsid w:val="00694366"/>
    <w:rsid w:val="0069698A"/>
    <w:rsid w:val="006971F7"/>
    <w:rsid w:val="006A1A0B"/>
    <w:rsid w:val="006B05D3"/>
    <w:rsid w:val="006B18AA"/>
    <w:rsid w:val="006C09C2"/>
    <w:rsid w:val="006C1B3D"/>
    <w:rsid w:val="006D296C"/>
    <w:rsid w:val="006E34EB"/>
    <w:rsid w:val="006E4D19"/>
    <w:rsid w:val="006F372F"/>
    <w:rsid w:val="00710166"/>
    <w:rsid w:val="00712EEF"/>
    <w:rsid w:val="00713956"/>
    <w:rsid w:val="0072243D"/>
    <w:rsid w:val="00736C5D"/>
    <w:rsid w:val="007406A4"/>
    <w:rsid w:val="00741FF4"/>
    <w:rsid w:val="00742EA4"/>
    <w:rsid w:val="007502BC"/>
    <w:rsid w:val="007578B6"/>
    <w:rsid w:val="007602BF"/>
    <w:rsid w:val="0076226A"/>
    <w:rsid w:val="00763EA6"/>
    <w:rsid w:val="0078046B"/>
    <w:rsid w:val="007A3DA5"/>
    <w:rsid w:val="007A4960"/>
    <w:rsid w:val="007B20D5"/>
    <w:rsid w:val="007E6F92"/>
    <w:rsid w:val="007E7A76"/>
    <w:rsid w:val="007F4287"/>
    <w:rsid w:val="007F72EE"/>
    <w:rsid w:val="008001E8"/>
    <w:rsid w:val="00801470"/>
    <w:rsid w:val="00806B05"/>
    <w:rsid w:val="00814E60"/>
    <w:rsid w:val="00816CBC"/>
    <w:rsid w:val="00830873"/>
    <w:rsid w:val="00834C45"/>
    <w:rsid w:val="008419B1"/>
    <w:rsid w:val="00842BBF"/>
    <w:rsid w:val="0084578D"/>
    <w:rsid w:val="00845C51"/>
    <w:rsid w:val="00877035"/>
    <w:rsid w:val="00881997"/>
    <w:rsid w:val="00884CDF"/>
    <w:rsid w:val="00897C98"/>
    <w:rsid w:val="008A4884"/>
    <w:rsid w:val="008A6FC9"/>
    <w:rsid w:val="008B01A7"/>
    <w:rsid w:val="008B1979"/>
    <w:rsid w:val="008B26BF"/>
    <w:rsid w:val="008B4041"/>
    <w:rsid w:val="008B5C1C"/>
    <w:rsid w:val="008D2B2E"/>
    <w:rsid w:val="008E10ED"/>
    <w:rsid w:val="008E145B"/>
    <w:rsid w:val="008E2731"/>
    <w:rsid w:val="008E4C5E"/>
    <w:rsid w:val="008F7F20"/>
    <w:rsid w:val="0090241C"/>
    <w:rsid w:val="0090669A"/>
    <w:rsid w:val="00911675"/>
    <w:rsid w:val="00914D39"/>
    <w:rsid w:val="00922844"/>
    <w:rsid w:val="009278C8"/>
    <w:rsid w:val="00941B90"/>
    <w:rsid w:val="00955072"/>
    <w:rsid w:val="009608F4"/>
    <w:rsid w:val="00961F0E"/>
    <w:rsid w:val="00965140"/>
    <w:rsid w:val="009670BA"/>
    <w:rsid w:val="009717D4"/>
    <w:rsid w:val="0097288A"/>
    <w:rsid w:val="00983EA5"/>
    <w:rsid w:val="009961B6"/>
    <w:rsid w:val="009964F9"/>
    <w:rsid w:val="009A01BE"/>
    <w:rsid w:val="009A3D3E"/>
    <w:rsid w:val="009A60AF"/>
    <w:rsid w:val="009B041B"/>
    <w:rsid w:val="009B78B5"/>
    <w:rsid w:val="009C38A6"/>
    <w:rsid w:val="009C5825"/>
    <w:rsid w:val="009C79D3"/>
    <w:rsid w:val="009F26C8"/>
    <w:rsid w:val="00A02EC3"/>
    <w:rsid w:val="00A12C43"/>
    <w:rsid w:val="00A14662"/>
    <w:rsid w:val="00A35748"/>
    <w:rsid w:val="00A53D80"/>
    <w:rsid w:val="00A613BA"/>
    <w:rsid w:val="00A66D2A"/>
    <w:rsid w:val="00A70D2F"/>
    <w:rsid w:val="00A80979"/>
    <w:rsid w:val="00A976D2"/>
    <w:rsid w:val="00AB081D"/>
    <w:rsid w:val="00AB1097"/>
    <w:rsid w:val="00AB31FC"/>
    <w:rsid w:val="00AB3904"/>
    <w:rsid w:val="00AB548A"/>
    <w:rsid w:val="00AC02B7"/>
    <w:rsid w:val="00AC0781"/>
    <w:rsid w:val="00AC4816"/>
    <w:rsid w:val="00AC6BD5"/>
    <w:rsid w:val="00AD1DCD"/>
    <w:rsid w:val="00AD4512"/>
    <w:rsid w:val="00AE1ECF"/>
    <w:rsid w:val="00AE23EC"/>
    <w:rsid w:val="00AE45A2"/>
    <w:rsid w:val="00AE797D"/>
    <w:rsid w:val="00AF10A7"/>
    <w:rsid w:val="00AF1526"/>
    <w:rsid w:val="00B116A9"/>
    <w:rsid w:val="00B121E7"/>
    <w:rsid w:val="00B26987"/>
    <w:rsid w:val="00B419F1"/>
    <w:rsid w:val="00B52539"/>
    <w:rsid w:val="00B54F77"/>
    <w:rsid w:val="00B55B67"/>
    <w:rsid w:val="00B80279"/>
    <w:rsid w:val="00BA42DB"/>
    <w:rsid w:val="00BB1700"/>
    <w:rsid w:val="00BB6E60"/>
    <w:rsid w:val="00BB7145"/>
    <w:rsid w:val="00BB7FB8"/>
    <w:rsid w:val="00BC3E4E"/>
    <w:rsid w:val="00BD39F8"/>
    <w:rsid w:val="00BE49BB"/>
    <w:rsid w:val="00BE722F"/>
    <w:rsid w:val="00BE75B0"/>
    <w:rsid w:val="00BE7A86"/>
    <w:rsid w:val="00C0059A"/>
    <w:rsid w:val="00C02361"/>
    <w:rsid w:val="00C04C73"/>
    <w:rsid w:val="00C216A6"/>
    <w:rsid w:val="00C2784F"/>
    <w:rsid w:val="00C31FDE"/>
    <w:rsid w:val="00C50488"/>
    <w:rsid w:val="00C62B2C"/>
    <w:rsid w:val="00C62C55"/>
    <w:rsid w:val="00C705AC"/>
    <w:rsid w:val="00C717C6"/>
    <w:rsid w:val="00C71A5F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9C1"/>
    <w:rsid w:val="00CC54E0"/>
    <w:rsid w:val="00CD408B"/>
    <w:rsid w:val="00CD7422"/>
    <w:rsid w:val="00CF1984"/>
    <w:rsid w:val="00CF370C"/>
    <w:rsid w:val="00D00759"/>
    <w:rsid w:val="00D1412A"/>
    <w:rsid w:val="00D1649F"/>
    <w:rsid w:val="00D21819"/>
    <w:rsid w:val="00D34CAF"/>
    <w:rsid w:val="00D36848"/>
    <w:rsid w:val="00D4270C"/>
    <w:rsid w:val="00D43E96"/>
    <w:rsid w:val="00D44FB9"/>
    <w:rsid w:val="00D55AC7"/>
    <w:rsid w:val="00D6251D"/>
    <w:rsid w:val="00D730D8"/>
    <w:rsid w:val="00D73C72"/>
    <w:rsid w:val="00D76FB6"/>
    <w:rsid w:val="00D96D94"/>
    <w:rsid w:val="00DA75B5"/>
    <w:rsid w:val="00DB05BB"/>
    <w:rsid w:val="00DC2CF2"/>
    <w:rsid w:val="00DC6B04"/>
    <w:rsid w:val="00DE3397"/>
    <w:rsid w:val="00DF00D3"/>
    <w:rsid w:val="00DF2275"/>
    <w:rsid w:val="00DF6138"/>
    <w:rsid w:val="00DF7781"/>
    <w:rsid w:val="00E10F3B"/>
    <w:rsid w:val="00E11E02"/>
    <w:rsid w:val="00E140D7"/>
    <w:rsid w:val="00E2316B"/>
    <w:rsid w:val="00E30686"/>
    <w:rsid w:val="00E526DA"/>
    <w:rsid w:val="00E56DA1"/>
    <w:rsid w:val="00E653F2"/>
    <w:rsid w:val="00E722BD"/>
    <w:rsid w:val="00E773F6"/>
    <w:rsid w:val="00E819BD"/>
    <w:rsid w:val="00E84B81"/>
    <w:rsid w:val="00EA2C6E"/>
    <w:rsid w:val="00EB0016"/>
    <w:rsid w:val="00EB1698"/>
    <w:rsid w:val="00EB212E"/>
    <w:rsid w:val="00EB5443"/>
    <w:rsid w:val="00EC624A"/>
    <w:rsid w:val="00ED7DCE"/>
    <w:rsid w:val="00EE4120"/>
    <w:rsid w:val="00EE703D"/>
    <w:rsid w:val="00EF1EEB"/>
    <w:rsid w:val="00EF435A"/>
    <w:rsid w:val="00EF6809"/>
    <w:rsid w:val="00F0032F"/>
    <w:rsid w:val="00F26C2C"/>
    <w:rsid w:val="00F36083"/>
    <w:rsid w:val="00F537F2"/>
    <w:rsid w:val="00F561A2"/>
    <w:rsid w:val="00F62A85"/>
    <w:rsid w:val="00F777F6"/>
    <w:rsid w:val="00F82D8E"/>
    <w:rsid w:val="00F8680F"/>
    <w:rsid w:val="00F90120"/>
    <w:rsid w:val="00F92484"/>
    <w:rsid w:val="00F95E63"/>
    <w:rsid w:val="00FB4EC3"/>
    <w:rsid w:val="00FB58B9"/>
    <w:rsid w:val="00FC5E40"/>
    <w:rsid w:val="00FC7B1F"/>
    <w:rsid w:val="00FD3809"/>
    <w:rsid w:val="00FE7479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55E9B-6A13-4661-AEB6-7B1825DF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7971</Words>
  <Characters>45441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53306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265</cp:revision>
  <cp:lastPrinted>2017-02-17T03:01:00Z</cp:lastPrinted>
  <dcterms:created xsi:type="dcterms:W3CDTF">2014-03-24T02:42:00Z</dcterms:created>
  <dcterms:modified xsi:type="dcterms:W3CDTF">2017-02-17T03:01:00Z</dcterms:modified>
</cp:coreProperties>
</file>