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0D" w:rsidRDefault="001D120D" w:rsidP="00824DB5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 w:rsidR="00F979B6">
        <w:rPr>
          <w:sz w:val="24"/>
          <w:szCs w:val="24"/>
        </w:rPr>
        <w:t xml:space="preserve"> на 2015 – 2025</w:t>
      </w:r>
      <w:r>
        <w:rPr>
          <w:sz w:val="24"/>
          <w:szCs w:val="24"/>
        </w:rPr>
        <w:t xml:space="preserve">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435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4"/>
              <w:gridCol w:w="5385"/>
            </w:tblGrid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</w:t>
                  </w:r>
                  <w:r w:rsidR="00345643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="00144CC8">
                    <w:rPr>
                      <w:sz w:val="24"/>
                      <w:szCs w:val="24"/>
                    </w:rPr>
                    <w:t>правление</w:t>
                  </w:r>
                  <w:r w:rsidR="001D120D">
                    <w:rPr>
                      <w:sz w:val="24"/>
                      <w:szCs w:val="24"/>
                    </w:rPr>
                    <w:t xml:space="preserve">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</w:t>
                  </w:r>
                  <w:r w:rsidR="001D120D">
                    <w:rPr>
                      <w:sz w:val="24"/>
                      <w:szCs w:val="24"/>
                    </w:rPr>
                    <w:t>омитет по управлению 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  <w:p w:rsidR="00144CC8" w:rsidRDefault="00144CC8" w:rsidP="003456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МБУ </w:t>
                  </w:r>
                  <w:r w:rsidR="00345643">
                    <w:rPr>
                      <w:sz w:val="24"/>
                      <w:szCs w:val="24"/>
                    </w:rPr>
                    <w:t xml:space="preserve">«Служба единого заказчика </w:t>
                  </w:r>
                  <w:r>
                    <w:rPr>
                      <w:sz w:val="24"/>
                      <w:szCs w:val="24"/>
                    </w:rPr>
                    <w:t>муниципального образования «Холмский городской округ»</w:t>
                  </w:r>
                </w:p>
                <w:p w:rsidR="00345643" w:rsidRDefault="00345643" w:rsidP="00940F81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</w:t>
                  </w:r>
                  <w:r w:rsidR="00940F81">
                    <w:rPr>
                      <w:sz w:val="24"/>
                      <w:szCs w:val="24"/>
                    </w:rPr>
                    <w:t>экономики администрации муниципального образования «Холмский городской округ»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      </w:r>
                </w:p>
                <w:p w:rsidR="00940F81" w:rsidRDefault="00940F81" w:rsidP="00940F81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3.Создание условий для обеспечения экологической безопасности населения</w:t>
                  </w:r>
                </w:p>
                <w:p w:rsidR="00940F81" w:rsidRDefault="00940F81" w:rsidP="00940F81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Расширение использования природного газа в качестве моторного топлива</w:t>
                  </w:r>
                </w:p>
              </w:tc>
            </w:tr>
            <w:tr w:rsidR="001D120D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состоянию.</w:t>
                  </w:r>
                </w:p>
                <w:p w:rsidR="006C6F59" w:rsidRDefault="006C6F59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обеспечение утилизации химических отходов</w:t>
                  </w:r>
                </w:p>
                <w:p w:rsidR="006C6F59" w:rsidRDefault="006C6F59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увеличение количества транспортных средств, использующих природный газ в качестве моторного топлива.</w:t>
                  </w:r>
                </w:p>
              </w:tc>
            </w:tr>
            <w:tr w:rsidR="00144CC8" w:rsidTr="00AD7400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Сроки и этапы  реализации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 w:rsidP="006C6F59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</w:t>
                  </w:r>
                  <w:r w:rsidR="006C6F59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гг.</w:t>
                  </w:r>
                </w:p>
              </w:tc>
            </w:tr>
            <w:tr w:rsidR="00AD7400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Объемы и источники финансирования Программы</w:t>
                  </w:r>
                </w:p>
                <w:p w:rsidR="00A40288" w:rsidRDefault="00A4028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A40288" w:rsidRDefault="00A4028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</w:t>
                  </w:r>
                  <w:r w:rsidR="001041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Программы составит – </w:t>
                  </w:r>
                  <w:r w:rsidR="00CD13FD">
                    <w:rPr>
                      <w:sz w:val="24"/>
                      <w:szCs w:val="24"/>
                    </w:rPr>
                    <w:t>582 313, 7</w:t>
                  </w:r>
                  <w:r>
                    <w:rPr>
                      <w:sz w:val="24"/>
                      <w:szCs w:val="24"/>
                    </w:rPr>
                    <w:t xml:space="preserve"> тыс. руб</w:t>
                  </w:r>
                  <w:r w:rsidR="001041B9">
                    <w:rPr>
                      <w:sz w:val="24"/>
                      <w:szCs w:val="24"/>
                    </w:rPr>
                    <w:t>лей, в том числе: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федерального бюджета – 38 419,1 тыс. рублей, в том числе по годам: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областного бюджета – </w:t>
                  </w:r>
                  <w:r w:rsidR="00CD13FD">
                    <w:rPr>
                      <w:sz w:val="24"/>
                      <w:szCs w:val="24"/>
                    </w:rPr>
                    <w:t>534 549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CD13FD">
                    <w:rPr>
                      <w:sz w:val="24"/>
                      <w:szCs w:val="24"/>
                    </w:rPr>
                    <w:t xml:space="preserve"> 3</w:t>
                  </w:r>
                  <w:r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2016 год – 13 016,0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2017 год –  </w:t>
                  </w:r>
                  <w:r w:rsidR="00CD13FD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</w:t>
                  </w:r>
                  <w:r w:rsidR="00CD13FD">
                    <w:rPr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2018 год – </w:t>
                  </w:r>
                  <w:r w:rsidR="00CD13FD">
                    <w:rPr>
                      <w:sz w:val="24"/>
                      <w:szCs w:val="24"/>
                    </w:rPr>
                    <w:t>60 615, 5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D13FD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311 694, 5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D13FD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2020 год – 39 437, 2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 год – 6 666, 4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2022 год – 504, 9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2023 год – 0, 0 тыс. рублей 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год – 0, 0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2025 год – 0, 0 тыс. рублей </w:t>
                  </w:r>
                </w:p>
                <w:p w:rsidR="001041B9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местный бюджет</w:t>
                  </w:r>
                  <w:r w:rsidR="00A40288">
                    <w:rPr>
                      <w:sz w:val="24"/>
                      <w:szCs w:val="24"/>
                    </w:rPr>
                    <w:t xml:space="preserve"> 9 345</w:t>
                  </w:r>
                  <w:r w:rsidR="001041B9">
                    <w:rPr>
                      <w:sz w:val="24"/>
                      <w:szCs w:val="24"/>
                    </w:rPr>
                    <w:t>,</w:t>
                  </w:r>
                  <w:r w:rsidR="00A40288">
                    <w:rPr>
                      <w:sz w:val="24"/>
                      <w:szCs w:val="24"/>
                    </w:rPr>
                    <w:t xml:space="preserve"> 3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4F5D67" w:rsidRDefault="004F5D67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4 972,4  тыс. рублей</w:t>
                  </w:r>
                </w:p>
                <w:p w:rsidR="004F5D67" w:rsidRDefault="004F5D67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2016 год – </w:t>
                  </w:r>
                  <w:r w:rsidR="00564E63">
                    <w:rPr>
                      <w:sz w:val="24"/>
                      <w:szCs w:val="24"/>
                    </w:rPr>
                    <w:t>131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564E63">
                    <w:rPr>
                      <w:sz w:val="24"/>
                      <w:szCs w:val="24"/>
                    </w:rPr>
                    <w:t xml:space="preserve"> 0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612, 3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3 148</w:t>
                  </w:r>
                  <w:r w:rsidR="004F5D6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6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564E63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408</w:t>
                  </w:r>
                  <w:r w:rsidR="004F5D67">
                    <w:rPr>
                      <w:sz w:val="24"/>
                      <w:szCs w:val="24"/>
                    </w:rPr>
                    <w:t>,</w:t>
                  </w:r>
                  <w:r w:rsidR="00A4028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6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2021 год – 67, 4 тыс. рублей 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2022 год – 5, 1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 год – 0, 0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год – 0, 0 тыс. рублей</w:t>
                  </w:r>
                </w:p>
                <w:p w:rsidR="00A40288" w:rsidRDefault="00A4028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2025 год – 0, 0 тыс. рублей</w:t>
                  </w:r>
                </w:p>
                <w:p w:rsidR="004F5D67" w:rsidRDefault="004F5D67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1.Количество построенных объектов размещения  обезвреживания отходов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2.Доля гидротехнических сооружений с</w:t>
                  </w:r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lastRenderedPageBreak/>
                    <w:t>приведенных в безопасное техническое состояние</w:t>
                  </w:r>
                </w:p>
                <w:p w:rsidR="001D120D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721332">
                    <w:rPr>
                      <w:sz w:val="24"/>
                      <w:szCs w:val="24"/>
                    </w:rPr>
                    <w:t>11,5 км.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5. Площадь </w:t>
                  </w:r>
                  <w:proofErr w:type="spellStart"/>
                  <w:r>
                    <w:rPr>
                      <w:sz w:val="24"/>
                      <w:szCs w:val="24"/>
                    </w:rPr>
                    <w:t>рекультивированных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земель, нарушенных при размещении отходов 1 (га).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 Сбор и вывоз серы и других химических веществ с территории бывшего ЦБЗ – 2 930 (тонн).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 Количество автотранспортных средств, использующих природный газ в качестве моторного топлива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3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3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10</w:t>
                  </w:r>
                  <w:r w:rsidR="0042518C" w:rsidRPr="00BB6ED4">
                    <w:rPr>
                      <w:sz w:val="24"/>
                      <w:szCs w:val="24"/>
                    </w:rPr>
                    <w:t>;</w:t>
                  </w:r>
                </w:p>
                <w:p w:rsidR="0042518C" w:rsidRPr="00BB6ED4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 год – 5</w:t>
                  </w:r>
                  <w:r w:rsidRPr="00BB6ED4">
                    <w:rPr>
                      <w:sz w:val="24"/>
                      <w:szCs w:val="24"/>
                    </w:rPr>
                    <w:t>;</w:t>
                  </w:r>
                </w:p>
                <w:p w:rsidR="00BB6ED4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BB6ED4">
                    <w:rPr>
                      <w:sz w:val="24"/>
                      <w:szCs w:val="24"/>
                    </w:rPr>
                    <w:t xml:space="preserve">2022 </w:t>
                  </w:r>
                  <w:r>
                    <w:rPr>
                      <w:sz w:val="24"/>
                      <w:szCs w:val="24"/>
                    </w:rPr>
                    <w:t>год – 4.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 Приобретение автотранспорта и техники, использующих природный газ в качестве моторного топлива для предприятий жилищно-коммунального хозяйства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7</w:t>
                  </w:r>
                  <w:r w:rsidR="0042518C">
                    <w:rPr>
                      <w:sz w:val="24"/>
                      <w:szCs w:val="24"/>
                    </w:rPr>
                    <w:t xml:space="preserve"> ед</w:t>
                  </w:r>
                  <w:r w:rsidR="0042518C" w:rsidRPr="0042518C">
                    <w:rPr>
                      <w:sz w:val="24"/>
                      <w:szCs w:val="24"/>
                    </w:rPr>
                    <w:t>.;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</w:t>
                  </w:r>
                  <w:r w:rsidR="0042518C">
                    <w:rPr>
                      <w:sz w:val="24"/>
                      <w:szCs w:val="24"/>
                    </w:rPr>
                    <w:t xml:space="preserve"> ед</w:t>
                  </w:r>
                  <w:r w:rsidR="0042518C" w:rsidRPr="0042518C">
                    <w:rPr>
                      <w:sz w:val="24"/>
                      <w:szCs w:val="24"/>
                    </w:rPr>
                    <w:t>.;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 год – 5 ед</w:t>
                  </w:r>
                  <w:r w:rsidRPr="0042518C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42518C" w:rsidRDefault="0042518C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9. Устройство площадки для передвижного автомобильного газового заправщика (ПАГЗ)</w:t>
                  </w:r>
                  <w:r w:rsidRPr="0042518C">
                    <w:rPr>
                      <w:sz w:val="24"/>
                      <w:szCs w:val="24"/>
                    </w:rPr>
                    <w:t>:</w:t>
                  </w:r>
                </w:p>
                <w:p w:rsidR="0042518C" w:rsidRDefault="00BB6ED4" w:rsidP="005D27B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1</w:t>
                  </w:r>
                  <w:bookmarkStart w:id="0" w:name="_GoBack"/>
                  <w:bookmarkEnd w:id="0"/>
                  <w:r w:rsidR="0042518C">
                    <w:rPr>
                      <w:sz w:val="24"/>
                      <w:szCs w:val="24"/>
                    </w:rPr>
                    <w:t xml:space="preserve"> ед.  </w:t>
                  </w:r>
                </w:p>
                <w:p w:rsidR="001D120D" w:rsidRDefault="00FF5F36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A9659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Pr="00F979B6" w:rsidRDefault="001D120D" w:rsidP="00F979B6">
      <w:pPr>
        <w:tabs>
          <w:tab w:val="left" w:pos="1830"/>
        </w:tabs>
      </w:pPr>
    </w:p>
    <w:sectPr w:rsidR="001D120D" w:rsidRPr="00F979B6" w:rsidSect="00630DE6">
      <w:pgSz w:w="11906" w:h="16838"/>
      <w:pgMar w:top="-99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D120D"/>
    <w:rsid w:val="00002103"/>
    <w:rsid w:val="00030CF5"/>
    <w:rsid w:val="000317DC"/>
    <w:rsid w:val="000379FF"/>
    <w:rsid w:val="00080AC9"/>
    <w:rsid w:val="00082F7B"/>
    <w:rsid w:val="000977CB"/>
    <w:rsid w:val="000D38DD"/>
    <w:rsid w:val="000E3D54"/>
    <w:rsid w:val="000E6B00"/>
    <w:rsid w:val="000F15DB"/>
    <w:rsid w:val="001041B9"/>
    <w:rsid w:val="0010557A"/>
    <w:rsid w:val="00144CC8"/>
    <w:rsid w:val="00150A46"/>
    <w:rsid w:val="0015428F"/>
    <w:rsid w:val="00177A89"/>
    <w:rsid w:val="00183615"/>
    <w:rsid w:val="001C19AF"/>
    <w:rsid w:val="001D120D"/>
    <w:rsid w:val="001E586A"/>
    <w:rsid w:val="00217FAA"/>
    <w:rsid w:val="00222DCE"/>
    <w:rsid w:val="002444F8"/>
    <w:rsid w:val="00294D5C"/>
    <w:rsid w:val="00297CAE"/>
    <w:rsid w:val="002A16CD"/>
    <w:rsid w:val="002B66C3"/>
    <w:rsid w:val="002C572F"/>
    <w:rsid w:val="002D0EC4"/>
    <w:rsid w:val="003133F2"/>
    <w:rsid w:val="003162E3"/>
    <w:rsid w:val="003307E7"/>
    <w:rsid w:val="00331B21"/>
    <w:rsid w:val="00345643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2518C"/>
    <w:rsid w:val="0043112D"/>
    <w:rsid w:val="00442AFB"/>
    <w:rsid w:val="00460E5D"/>
    <w:rsid w:val="004A6B8F"/>
    <w:rsid w:val="004E55ED"/>
    <w:rsid w:val="004F5D67"/>
    <w:rsid w:val="004F694A"/>
    <w:rsid w:val="00541F00"/>
    <w:rsid w:val="005627E9"/>
    <w:rsid w:val="00564E63"/>
    <w:rsid w:val="00594193"/>
    <w:rsid w:val="00594397"/>
    <w:rsid w:val="00596CAD"/>
    <w:rsid w:val="005B4F35"/>
    <w:rsid w:val="005D27B9"/>
    <w:rsid w:val="00630DE6"/>
    <w:rsid w:val="00672259"/>
    <w:rsid w:val="00677A90"/>
    <w:rsid w:val="00677EE2"/>
    <w:rsid w:val="00691248"/>
    <w:rsid w:val="006C415B"/>
    <w:rsid w:val="006C6F59"/>
    <w:rsid w:val="006E72FC"/>
    <w:rsid w:val="00713C4D"/>
    <w:rsid w:val="00721332"/>
    <w:rsid w:val="0073080A"/>
    <w:rsid w:val="0073792B"/>
    <w:rsid w:val="00756A8D"/>
    <w:rsid w:val="00775C63"/>
    <w:rsid w:val="007B33B8"/>
    <w:rsid w:val="007F3067"/>
    <w:rsid w:val="00824DB5"/>
    <w:rsid w:val="00840EB7"/>
    <w:rsid w:val="0086343E"/>
    <w:rsid w:val="00885DBD"/>
    <w:rsid w:val="008911AC"/>
    <w:rsid w:val="008B63E1"/>
    <w:rsid w:val="00920051"/>
    <w:rsid w:val="00940F81"/>
    <w:rsid w:val="00951479"/>
    <w:rsid w:val="00963441"/>
    <w:rsid w:val="00984321"/>
    <w:rsid w:val="00996BBF"/>
    <w:rsid w:val="009A77B6"/>
    <w:rsid w:val="009D6C02"/>
    <w:rsid w:val="009E27C2"/>
    <w:rsid w:val="009F7935"/>
    <w:rsid w:val="00A217A1"/>
    <w:rsid w:val="00A33FF9"/>
    <w:rsid w:val="00A40288"/>
    <w:rsid w:val="00A65BE1"/>
    <w:rsid w:val="00A7220D"/>
    <w:rsid w:val="00A95ED1"/>
    <w:rsid w:val="00A96592"/>
    <w:rsid w:val="00AD7400"/>
    <w:rsid w:val="00AE3091"/>
    <w:rsid w:val="00B33668"/>
    <w:rsid w:val="00BA0ABA"/>
    <w:rsid w:val="00BB6ED4"/>
    <w:rsid w:val="00C03823"/>
    <w:rsid w:val="00C21EA9"/>
    <w:rsid w:val="00C51223"/>
    <w:rsid w:val="00C619A6"/>
    <w:rsid w:val="00C90CF3"/>
    <w:rsid w:val="00CD13FD"/>
    <w:rsid w:val="00CE1F34"/>
    <w:rsid w:val="00D105A7"/>
    <w:rsid w:val="00D25454"/>
    <w:rsid w:val="00D5216B"/>
    <w:rsid w:val="00D725A9"/>
    <w:rsid w:val="00D73F52"/>
    <w:rsid w:val="00D77899"/>
    <w:rsid w:val="00DC1B21"/>
    <w:rsid w:val="00DC33BF"/>
    <w:rsid w:val="00E1424E"/>
    <w:rsid w:val="00E31258"/>
    <w:rsid w:val="00E504CA"/>
    <w:rsid w:val="00E6427E"/>
    <w:rsid w:val="00E70AB0"/>
    <w:rsid w:val="00E97CE8"/>
    <w:rsid w:val="00EB27A6"/>
    <w:rsid w:val="00EF2F58"/>
    <w:rsid w:val="00F00AD2"/>
    <w:rsid w:val="00F52663"/>
    <w:rsid w:val="00F979B6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7331"/>
  <w15:docId w15:val="{DA1BBFA9-47F0-4EC7-A69A-6B3C7CF4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9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79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AD567-35D5-47F9-B009-22F4B0F7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Виктория Бочарова</cp:lastModifiedBy>
  <cp:revision>711</cp:revision>
  <cp:lastPrinted>2020-12-25T07:34:00Z</cp:lastPrinted>
  <dcterms:created xsi:type="dcterms:W3CDTF">2015-07-23T03:15:00Z</dcterms:created>
  <dcterms:modified xsi:type="dcterms:W3CDTF">2020-12-28T07:27:00Z</dcterms:modified>
</cp:coreProperties>
</file>